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Минфина России от 18.02.2026 N 02-07-06/12539</w:t>
              <w:br/>
              <w:t xml:space="preserve">"О применении кодов бюджетной классификации Российской Федерации в аналитических счетах рабочих планов счетов организаций бюджетной сферы"</w:t>
              <w:br/>
              <w:t xml:space="preserve">(вместе со "Схемой по актуализации кодов классификации расходов федерального бюджета")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24.02.2026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18 февраля 2026 г. N 02-07-06/12539</w:t>
      </w:r>
    </w:p>
    <w:p>
      <w:pPr>
        <w:pStyle w:val="2"/>
        <w:jc w:val="center"/>
      </w:pPr>
      <w:r>
        <w:rPr>
          <w:sz w:val="24"/>
        </w:rPr>
      </w:r>
    </w:p>
    <w:p>
      <w:pPr>
        <w:pStyle w:val="2"/>
        <w:jc w:val="center"/>
      </w:pPr>
      <w:r>
        <w:rPr>
          <w:sz w:val="24"/>
        </w:rPr>
        <w:t xml:space="preserve">О ПРИМЕНЕНИИ</w:t>
      </w:r>
    </w:p>
    <w:p>
      <w:pPr>
        <w:pStyle w:val="2"/>
        <w:jc w:val="center"/>
      </w:pPr>
      <w:r>
        <w:rPr>
          <w:sz w:val="24"/>
        </w:rPr>
        <w:t xml:space="preserve">КОДОВ БЮДЖЕТНОЙ КЛАССИФИКАЦИИ РОССИЙСКОЙ ФЕДЕРАЦИИ</w:t>
      </w:r>
    </w:p>
    <w:p>
      <w:pPr>
        <w:pStyle w:val="2"/>
        <w:jc w:val="center"/>
      </w:pPr>
      <w:r>
        <w:rPr>
          <w:sz w:val="24"/>
        </w:rPr>
        <w:t xml:space="preserve">В АНАЛИТИЧЕСКИХ СЧЕТАХ РАБОЧИХ ПЛАНОВ СЧЕТОВ ОРГАНИЗАЦИЙ</w:t>
      </w:r>
    </w:p>
    <w:p>
      <w:pPr>
        <w:pStyle w:val="2"/>
        <w:jc w:val="center"/>
      </w:pPr>
      <w:r>
        <w:rPr>
          <w:sz w:val="24"/>
        </w:rPr>
        <w:t xml:space="preserve">БЮДЖЕТНОЙ СФЕРЫ</w:t>
      </w:r>
    </w:p>
    <w:p>
      <w:pPr>
        <w:pStyle w:val="0"/>
        <w:ind w:firstLine="540"/>
        <w:jc w:val="both"/>
      </w:pPr>
      <w:r>
        <w:rPr>
          <w:sz w:val="24"/>
        </w:rPr>
      </w:r>
    </w:p>
    <w:p>
      <w:pPr>
        <w:pStyle w:val="0"/>
        <w:ind w:firstLine="540"/>
        <w:jc w:val="both"/>
      </w:pPr>
      <w:r>
        <w:rPr>
          <w:sz w:val="24"/>
        </w:rPr>
        <w:t xml:space="preserve">В целях отражения актуальных кодов бюджетной классификации Российской Федерации в номерах счетов аналитического учета рабочих планов счетов организаций бюджетной сферы при ведении бюджетного учета, бухгалтерского учета государственных (муниципальных) бюджетных (автономных) учреждений (далее - ведение бухгалтерского учета) и в дополнение к </w:t>
      </w:r>
      <w:hyperlink w:history="0" r:id="rId8" w:tooltip="&lt;Письмо&gt; Минфина России от 30.06.2025 N 02-07-08/63940 &quot;Методические рекомендации по применению СГС &quot;Единый план счетов бухгалтерского учета государственных финансов&quot; (вместе с &quot;Методическими рекомендациями по применению федерального стандарта бухгалтерского учета государственных финансов &quot;Единый план счетов бухгалтерского учета государственных финансов&quot;) {КонсультантПлюс}">
        <w:r>
          <w:rPr>
            <w:sz w:val="24"/>
            <w:color w:val="0000ff"/>
          </w:rPr>
          <w:t xml:space="preserve">Методическим рекомендациям</w:t>
        </w:r>
      </w:hyperlink>
      <w:r>
        <w:rPr>
          <w:sz w:val="24"/>
        </w:rPr>
        <w:t xml:space="preserve"> &lt;1&gt; Министерство финансов Российской Федерации сообщает следующее.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Методические </w:t>
      </w:r>
      <w:hyperlink w:history="0" r:id="rId9" w:tooltip="&lt;Письмо&gt; Минфина России от 30.06.2025 N 02-07-08/63940 &quot;Методические рекомендации по применению СГС &quot;Единый план счетов бухгалтерского учета государственных финансов&quot; (вместе с &quot;Методическими рекомендациями по применению федерального стандарта бухгалтерского учета государственных финансов &quot;Единый план счетов бухгалтерского учета государственных финансов&quot;) {КонсультантПлюс}">
        <w:r>
          <w:rPr>
            <w:sz w:val="24"/>
            <w:color w:val="0000ff"/>
          </w:rPr>
          <w:t xml:space="preserve">рекомендации</w:t>
        </w:r>
      </w:hyperlink>
      <w:r>
        <w:rPr>
          <w:sz w:val="24"/>
        </w:rPr>
        <w:t xml:space="preserve"> по применению СГС "Единый план счетов бухгалтерского учета государственных финансов", доведенные письмом Министерства финансов Российской Федерации от 30.06.2025 N 02-07-08/63940 (далее - Методические рекомендации).</w:t>
      </w:r>
    </w:p>
    <w:p>
      <w:pPr>
        <w:pStyle w:val="0"/>
        <w:ind w:firstLine="540"/>
        <w:jc w:val="both"/>
      </w:pPr>
      <w:r>
        <w:rPr>
          <w:sz w:val="24"/>
        </w:rPr>
      </w:r>
    </w:p>
    <w:p>
      <w:pPr>
        <w:pStyle w:val="0"/>
        <w:ind w:firstLine="540"/>
        <w:jc w:val="both"/>
      </w:pPr>
      <w:r>
        <w:rPr>
          <w:sz w:val="24"/>
        </w:rPr>
        <w:t xml:space="preserve">Согласно </w:t>
      </w:r>
      <w:hyperlink w:history="0" r:id="rId10" w:tooltip="Приказ Минфина России от 30.08.2024 N 121н &quot;Об утверждении федерального стандарта бухгалтерского учета государственных финансов &quot;Единый план счетов бухгалтерского учета государственных финансов&quot; (Зарегистрировано в Минюсте России 11.12.2024 N 80540) {КонсультантПлюс}">
        <w:r>
          <w:rPr>
            <w:sz w:val="24"/>
            <w:color w:val="0000ff"/>
          </w:rPr>
          <w:t xml:space="preserve">пункту 7</w:t>
        </w:r>
      </w:hyperlink>
      <w:r>
        <w:rPr>
          <w:sz w:val="24"/>
        </w:rPr>
        <w:t xml:space="preserve"> федерального стандарта бухгалтерского учета государственных финансов "Единый план счетов бухгалтерского учета государственных финансов", утвержденного приказом Министерства финансов Российской Федерации от 30.08.2024 N 121н (далее - СГС "Единый план счетов бухгалтерского учета государственных финансов"), ведение бухгалтерского учета в соответствии со счетами Единого плана счетов осуществляется с учетом положений учетной политики субъекта учета, единой учетной политики при централизации учета на:</w:t>
      </w:r>
    </w:p>
    <w:p>
      <w:pPr>
        <w:pStyle w:val="0"/>
        <w:spacing w:before="240" w:lineRule="auto"/>
        <w:ind w:firstLine="540"/>
        <w:jc w:val="both"/>
      </w:pPr>
      <w:r>
        <w:rPr>
          <w:sz w:val="24"/>
        </w:rPr>
        <w:t xml:space="preserve">соответствующих счетах аналитического учета рабочего плана счетов в целях ведения бюджетного учета субъектом учета, осуществляющим бюджетные полномочия получателя бюджетных средств, администратора доходов бюджета, администратора источников финансирования дефицита бюджета (казенным учреждением) и (или) финансовым органом соответствующего бюджета бюджетной системы Российской Федерации;</w:t>
      </w:r>
    </w:p>
    <w:p>
      <w:pPr>
        <w:pStyle w:val="0"/>
        <w:spacing w:before="240" w:lineRule="auto"/>
        <w:ind w:firstLine="540"/>
        <w:jc w:val="both"/>
      </w:pPr>
      <w:r>
        <w:rPr>
          <w:sz w:val="24"/>
        </w:rPr>
        <w:t xml:space="preserve">соответствующих счетах аналитического учета рабочего плана счетов органом Федерального казначейства в целях ведения казначейского учета операций, осуществляемых при казначейском обслуживании, в том числе казначейском обслуживании исполнения федерального бюджета, операций по управлению остатками средств на едином казначейском счете, а также иных операций, осуществляемых в системе казначейских платежей;</w:t>
      </w:r>
    </w:p>
    <w:p>
      <w:pPr>
        <w:pStyle w:val="0"/>
        <w:spacing w:before="240" w:lineRule="auto"/>
        <w:ind w:firstLine="540"/>
        <w:jc w:val="both"/>
      </w:pPr>
      <w:r>
        <w:rPr>
          <w:sz w:val="24"/>
        </w:rPr>
        <w:t xml:space="preserve">соответствующих счетах аналитического учета рабочего плана счетов в целях ведения бухгалтерского учета государственных (муниципальных) бюджетных (автономных) учреждений.</w:t>
      </w:r>
    </w:p>
    <w:p>
      <w:pPr>
        <w:pStyle w:val="0"/>
        <w:spacing w:before="240" w:lineRule="auto"/>
        <w:ind w:firstLine="540"/>
        <w:jc w:val="both"/>
      </w:pPr>
      <w:r>
        <w:rPr>
          <w:sz w:val="24"/>
        </w:rPr>
        <w:t xml:space="preserve">Формирование номера счета аналитического учета рабочего плана счетов осуществляется с применением кодов бюджетной классификации Российской Федерации (далее - КБК) с учетом положений </w:t>
      </w:r>
      <w:hyperlink w:history="0" r:id="rId11" w:tooltip="Приказ Минфина России от 30.08.2024 N 121н &quot;Об утверждении федерального стандарта бухгалтерского учета государственных финансов &quot;Единый план счетов бухгалтерского учета государственных финансов&quot; (Зарегистрировано в Минюсте России 11.12.2024 N 80540) {КонсультантПлюс}">
        <w:r>
          <w:rPr>
            <w:sz w:val="24"/>
            <w:color w:val="0000ff"/>
          </w:rPr>
          <w:t xml:space="preserve">пунктов 10</w:t>
        </w:r>
      </w:hyperlink>
      <w:r>
        <w:rPr>
          <w:sz w:val="24"/>
        </w:rPr>
        <w:t xml:space="preserve"> - </w:t>
      </w:r>
      <w:hyperlink w:history="0" r:id="rId12" w:tooltip="Приказ Минфина России от 30.08.2024 N 121н &quot;Об утверждении федерального стандарта бухгалтерского учета государственных финансов &quot;Единый план счетов бухгалтерского учета государственных финансов&quot; (Зарегистрировано в Минюсте России 11.12.2024 N 80540) {КонсультантПлюс}">
        <w:r>
          <w:rPr>
            <w:sz w:val="24"/>
            <w:color w:val="0000ff"/>
          </w:rPr>
          <w:t xml:space="preserve">16</w:t>
        </w:r>
      </w:hyperlink>
      <w:r>
        <w:rPr>
          <w:sz w:val="24"/>
        </w:rPr>
        <w:t xml:space="preserve"> СГС "Единый план счетов бухгалтерского учета государственных финансов", </w:t>
      </w:r>
      <w:hyperlink w:history="0" r:id="rId13" w:tooltip="Приказ Минфина России от 20.09.2024 N 132н &quot;Об утверждении федерального стандарта бухгалтерского учета государственных финансов &quot;План счетов бюджетного учета&quot; (Зарегистрировано в Минюсте России 11.12.2024 N 80539) {КонсультантПлюс}">
        <w:r>
          <w:rPr>
            <w:sz w:val="24"/>
            <w:color w:val="0000ff"/>
          </w:rPr>
          <w:t xml:space="preserve">пунктов 8</w:t>
        </w:r>
      </w:hyperlink>
      <w:r>
        <w:rPr>
          <w:sz w:val="24"/>
        </w:rPr>
        <w:t xml:space="preserve"> - </w:t>
      </w:r>
      <w:hyperlink w:history="0" r:id="rId14" w:tooltip="Приказ Минфина России от 20.09.2024 N 132н &quot;Об утверждении федерального стандарта бухгалтерского учета государственных финансов &quot;План счетов бюджетного учета&quot; (Зарегистрировано в Минюсте России 11.12.2024 N 80539) {КонсультантПлюс}">
        <w:r>
          <w:rPr>
            <w:sz w:val="24"/>
            <w:color w:val="0000ff"/>
          </w:rPr>
          <w:t xml:space="preserve">13</w:t>
        </w:r>
      </w:hyperlink>
      <w:r>
        <w:rPr>
          <w:sz w:val="24"/>
        </w:rPr>
        <w:t xml:space="preserve"> СГС "План счетов бюджетного учета" &lt;2&gt;, </w:t>
      </w:r>
      <w:hyperlink w:history="0" r:id="rId15" w:tooltip="Приказ Минфина России от 20.09.2024 N 133н &quot;Об утверждении федерального стандарта бухгалтерского учета государственных финансов &quot;План счетов бухгалтерского учета бюджетных и автономных учреждений&quot; (Зарегистрировано в Минюсте России 11.12.2024 N 80541) {КонсультантПлюс}">
        <w:r>
          <w:rPr>
            <w:sz w:val="24"/>
            <w:color w:val="0000ff"/>
          </w:rPr>
          <w:t xml:space="preserve">пунктов 8</w:t>
        </w:r>
      </w:hyperlink>
      <w:r>
        <w:rPr>
          <w:sz w:val="24"/>
        </w:rPr>
        <w:t xml:space="preserve"> - </w:t>
      </w:r>
      <w:hyperlink w:history="0" r:id="rId16" w:tooltip="Приказ Минфина России от 20.09.2024 N 133н &quot;Об утверждении федерального стандарта бухгалтерского учета государственных финансов &quot;План счетов бухгалтерского учета бюджетных и автономных учреждений&quot; (Зарегистрировано в Минюсте России 11.12.2024 N 80541) {КонсультантПлюс}">
        <w:r>
          <w:rPr>
            <w:sz w:val="24"/>
            <w:color w:val="0000ff"/>
          </w:rPr>
          <w:t xml:space="preserve">18</w:t>
        </w:r>
      </w:hyperlink>
      <w:r>
        <w:rPr>
          <w:sz w:val="24"/>
        </w:rPr>
        <w:t xml:space="preserve"> СГС "План счетов бухгалтерского учета бюджетных и автономных учреждений"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Федеральный стандарт бухгалтерского учета государственных финансов "План счетов бюджетного учета", утвержденный приказом Министерства финансов Российской Федерации от 20.09.2024 N 132н (далее - СГС "План счетов бюджетного учета").</w:t>
      </w:r>
    </w:p>
    <w:p>
      <w:pPr>
        <w:pStyle w:val="0"/>
        <w:spacing w:before="240" w:lineRule="auto"/>
        <w:ind w:firstLine="540"/>
        <w:jc w:val="both"/>
      </w:pPr>
      <w:r>
        <w:rPr>
          <w:sz w:val="24"/>
        </w:rPr>
        <w:t xml:space="preserve">&lt;3&gt; Федеральный стандарт бухгалтерского учета государственных финансов "План счетов бухгалтерского учета бюджетных и автономных учреждений", утвержденный приказом Министерства финансов Российской Федерации от 20.09.2024 N 133н (далее - СГС "План счетов бухгалтерского учета бюджетных и автономных учреждений").</w:t>
      </w:r>
    </w:p>
    <w:p>
      <w:pPr>
        <w:pStyle w:val="0"/>
        <w:ind w:firstLine="540"/>
        <w:jc w:val="both"/>
      </w:pPr>
      <w:r>
        <w:rPr>
          <w:sz w:val="24"/>
        </w:rPr>
      </w:r>
    </w:p>
    <w:p>
      <w:pPr>
        <w:pStyle w:val="0"/>
        <w:ind w:firstLine="540"/>
        <w:jc w:val="both"/>
      </w:pPr>
      <w:r>
        <w:rPr>
          <w:sz w:val="24"/>
        </w:rPr>
        <w:t xml:space="preserve">Согласно положениям Бюджетного </w:t>
      </w:r>
      <w:hyperlink w:history="0" r:id="rId17" w:tooltip="&quot;Бюджетный кодекс Российской Федерации&quot; от 31.07.1998 N 145-ФЗ (ред. от 28.12.2025) {КонсультантПлюс}">
        <w:r>
          <w:rPr>
            <w:sz w:val="24"/>
            <w:color w:val="0000ff"/>
          </w:rPr>
          <w:t xml:space="preserve">кодекса</w:t>
        </w:r>
      </w:hyperlink>
      <w:r>
        <w:rPr>
          <w:sz w:val="24"/>
        </w:rPr>
        <w:t xml:space="preserve"> Российской Федерации утверждение КБК осуществляется:</w:t>
      </w:r>
    </w:p>
    <w:p>
      <w:pPr>
        <w:pStyle w:val="0"/>
        <w:spacing w:before="240" w:lineRule="auto"/>
        <w:ind w:firstLine="540"/>
        <w:jc w:val="both"/>
      </w:pPr>
      <w:r>
        <w:rPr>
          <w:sz w:val="24"/>
        </w:rPr>
        <w:t xml:space="preserve">1) в части составных частей КБК единых для бюджетов бюджетной системы Российской Федерации - Министерством финансов Российской Федерации;</w:t>
      </w:r>
    </w:p>
    <w:p>
      <w:pPr>
        <w:pStyle w:val="0"/>
        <w:spacing w:before="240" w:lineRule="auto"/>
        <w:ind w:firstLine="540"/>
        <w:jc w:val="both"/>
      </w:pPr>
      <w:r>
        <w:rPr>
          <w:sz w:val="24"/>
        </w:rPr>
        <w:t xml:space="preserve">2) в части иных составных частей КБК, применяемых при исполнении соответствующих бюджетов бюджетной системы Российской Федерации - финансовым органом, осуществляющим составление и организацию исполнения соответствующего бюджета бюджетной системы Российской Федерации (далее - финансовые органы).</w:t>
      </w:r>
    </w:p>
    <w:p>
      <w:pPr>
        <w:pStyle w:val="0"/>
        <w:spacing w:before="240" w:lineRule="auto"/>
        <w:ind w:firstLine="540"/>
        <w:jc w:val="both"/>
      </w:pPr>
      <w:r>
        <w:rPr>
          <w:sz w:val="24"/>
        </w:rPr>
        <w:t xml:space="preserve">Согласно </w:t>
      </w:r>
      <w:hyperlink w:history="0" r:id="rId18" w:tooltip="&quot;Бюджетный кодекс Российской Федерации&quot; от 31.07.1998 N 145-ФЗ (ред. от 28.12.2025) {КонсультантПлюс}">
        <w:r>
          <w:rPr>
            <w:sz w:val="24"/>
            <w:color w:val="0000ff"/>
          </w:rPr>
          <w:t xml:space="preserve">статье 36</w:t>
        </w:r>
      </w:hyperlink>
      <w:r>
        <w:rPr>
          <w:sz w:val="24"/>
        </w:rPr>
        <w:t xml:space="preserve"> Бюджетного кодекса Российской Федерации, а также </w:t>
      </w:r>
      <w:hyperlink w:history="0" r:id="rId19" w:tooltip="Приказ Минфина России от 24.05.2022 N 82н (ред. от 10.06.2025) &quot;О Порядке формирования и применения кодов бюджетной классификации Российской Федерации, их структуре и принципах назначения&quot; (Зарегистрировано в Минюсте России 30.06.2022 N 69085) {КонсультантПлюс}">
        <w:r>
          <w:rPr>
            <w:sz w:val="24"/>
            <w:color w:val="0000ff"/>
          </w:rPr>
          <w:t xml:space="preserve">пункту 5.2</w:t>
        </w:r>
      </w:hyperlink>
      <w:r>
        <w:rPr>
          <w:sz w:val="24"/>
        </w:rPr>
        <w:t xml:space="preserve"> Порядка &lt;4&gt; назначение кодов бюджетной классификации Российской Федерации осуществляется в том числе в соответствии с принципом стабильности (преемственности).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20" w:tooltip="Приказ Минфина России от 24.05.2022 N 82н (ред. от 10.06.2025) &quot;О Порядке формирования и применения кодов бюджетной классификации Российской Федерации, их структуре и принципах назначения&quot; (Зарегистрировано в Минюсте России 30.06.2022 N 69085) {КонсультантПлюс}">
        <w:r>
          <w:rPr>
            <w:sz w:val="24"/>
            <w:color w:val="0000ff"/>
          </w:rPr>
          <w:t xml:space="preserve">Порядок</w:t>
        </w:r>
      </w:hyperlink>
      <w:r>
        <w:rPr>
          <w:sz w:val="24"/>
        </w:rPr>
        <w:t xml:space="preserve"> формирования и применения кодов бюджетной классификации Российской Федерации, их структура и принципы назначения, утвержденные приказом Министерства финансов Российской Федерации от 24.05.2022 N 82н.</w:t>
      </w:r>
    </w:p>
    <w:p>
      <w:pPr>
        <w:pStyle w:val="0"/>
        <w:ind w:firstLine="540"/>
        <w:jc w:val="both"/>
      </w:pPr>
      <w:r>
        <w:rPr>
          <w:sz w:val="24"/>
        </w:rPr>
      </w:r>
    </w:p>
    <w:p>
      <w:pPr>
        <w:pStyle w:val="0"/>
        <w:ind w:firstLine="540"/>
        <w:jc w:val="both"/>
      </w:pPr>
      <w:r>
        <w:rPr>
          <w:sz w:val="24"/>
        </w:rPr>
        <w:t xml:space="preserve">Согласно указанному принципу Министерство финансов Российской Федерации, финансовые органы обеспечивают сопоставимость изменяемых и (или) вновь вводимых правовыми актами указанных органов КБК путем составления и размещения на своих официальных сайтах в информационно-телекоммуникационной сети "Интернет" таблиц соответствия изменяемых КБК (их составных частей) (далее - сопоставительные таблицы).</w:t>
      </w:r>
    </w:p>
    <w:p>
      <w:pPr>
        <w:pStyle w:val="0"/>
        <w:spacing w:before="240" w:lineRule="auto"/>
        <w:ind w:firstLine="540"/>
        <w:jc w:val="both"/>
      </w:pPr>
      <w:r>
        <w:rPr>
          <w:sz w:val="24"/>
        </w:rPr>
        <w:t xml:space="preserve">Сопоставительные таблицы в части КБК, их составных частей, единых для бюджетов бюджетной системы Российской Федерации, размещаются на официальном сайте Министерства финансов Российской Федерации </w:t>
      </w:r>
      <w:hyperlink w:history="0" r:id="rId21">
        <w:r>
          <w:rPr>
            <w:sz w:val="24"/>
            <w:color w:val="0000ff"/>
          </w:rPr>
          <w:t xml:space="preserve">https://minfin.gov.ru/</w:t>
        </w:r>
      </w:hyperlink>
      <w:r>
        <w:rPr>
          <w:sz w:val="24"/>
        </w:rPr>
        <w:t xml:space="preserve"> в разделе "Деятельность/Бюджет/Бюджетная классификация Российской Федерации/Методический кабинет".</w:t>
      </w:r>
    </w:p>
    <w:p>
      <w:pPr>
        <w:pStyle w:val="0"/>
        <w:spacing w:before="240" w:lineRule="auto"/>
        <w:ind w:firstLine="540"/>
        <w:jc w:val="both"/>
      </w:pPr>
      <w:r>
        <w:rPr>
          <w:sz w:val="24"/>
        </w:rPr>
        <w:t xml:space="preserve">Формирование счета аналитического учета рабочего плана счетов, применяемого при ведении учета по операциям соответствующего финансового года, осуществляется в межотчетный период текущего финансового года.</w:t>
      </w:r>
    </w:p>
    <w:p>
      <w:pPr>
        <w:pStyle w:val="0"/>
        <w:spacing w:before="240" w:lineRule="auto"/>
        <w:ind w:firstLine="540"/>
        <w:jc w:val="both"/>
      </w:pPr>
      <w:r>
        <w:rPr>
          <w:sz w:val="24"/>
        </w:rPr>
        <w:t xml:space="preserve">Под межотчетным периодом текущего финансового года понимается условный период между отчетным периодом, включая период заключения показателей счетов рабочего плана счетов, сформированных по итогам отчетного года, и периодом текущего финансового года, используемый в целях: отражения изменений остатков на начало текущего финансового года (входящих остатков) по счетам учета текущего финансового года, обусловленных методологией ведения бюджетного (казначейского) учета и (или) методологией бухгалтерского учета бюджетных (автономных) учреждений (переоценкой активов и (или) обязательств), проведением реорганизационных мероприятий, изменением нормативных правовых актов, регулирующих ведение бухгалтерского учета (в случаях ретроспективного применения измененной учетной политики), а также переносом показателей по данным регистров бухгалтерского учета за отчетный финансовый год (исходящие остатки) на счета рабочего плана счетов, содержащие КБК, применяемые начиная с текущего финансового года.</w:t>
      </w:r>
    </w:p>
    <w:p>
      <w:pPr>
        <w:pStyle w:val="0"/>
        <w:spacing w:before="240" w:lineRule="auto"/>
        <w:ind w:firstLine="540"/>
        <w:jc w:val="both"/>
      </w:pPr>
      <w:r>
        <w:rPr>
          <w:sz w:val="24"/>
        </w:rPr>
        <w:t xml:space="preserve">При комплексной автоматизации бухгалтерского учета информация об объектах учета формируется в базах данных используемого программного комплекса, обеспечивающего реализацию положений нормативных правовых актов, регулирующих ведение бухгалтерского учета организациями бюджетной сферы, содержащего единые справочники, применяемые при формировании первичных учетных документов, ведении бухгалтерского учета для обобщения и систематизации данных об объектах бухгалтерского учета и изменяющих их операций.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Федеральный </w:t>
      </w:r>
      <w:hyperlink w:history="0" r:id="rId22" w:tooltip="Приказ Минфина России от 30.12.2017 N 274н (ред. от 14.02.2025) &quot;Об утверждении федерального стандарта бухгалтерского учета для организаций государственного сектора &quot;Учетная политика, оценочные значения и ошибки&quot; (Зарегистрировано в Минюсте России 18.05.2018 N 51123) {КонсультантПлюс}">
        <w:r>
          <w:rPr>
            <w:sz w:val="24"/>
            <w:color w:val="0000ff"/>
          </w:rPr>
          <w:t xml:space="preserve">стандарт</w:t>
        </w:r>
      </w:hyperlink>
      <w:r>
        <w:rPr>
          <w:sz w:val="24"/>
        </w:rPr>
        <w:t xml:space="preserve"> бухгалтерского учета для организаций государственного сектора "Учетная политика, оценочные значения и ошибки", утвержденный приказом Министерства финансов Российской Федерации от 30.12.2017 г. N 274н.</w:t>
      </w:r>
    </w:p>
    <w:p>
      <w:pPr>
        <w:pStyle w:val="0"/>
        <w:ind w:firstLine="540"/>
        <w:jc w:val="both"/>
      </w:pPr>
      <w:r>
        <w:rPr>
          <w:sz w:val="24"/>
        </w:rPr>
      </w:r>
    </w:p>
    <w:p>
      <w:pPr>
        <w:pStyle w:val="0"/>
        <w:ind w:firstLine="540"/>
        <w:jc w:val="both"/>
      </w:pPr>
      <w:r>
        <w:rPr>
          <w:sz w:val="24"/>
        </w:rPr>
        <w:t xml:space="preserve">Следует отметить, что справочники счетов аналитического учета рабочего плана счетов, а также КБК входят в состав обязательных справочников, подлежащих обновлению в целях отражения бухгалтерских записей соответствующего финансового года.</w:t>
      </w:r>
    </w:p>
    <w:p>
      <w:pPr>
        <w:pStyle w:val="0"/>
        <w:spacing w:before="240" w:lineRule="auto"/>
        <w:ind w:firstLine="540"/>
        <w:jc w:val="both"/>
      </w:pPr>
      <w:r>
        <w:rPr>
          <w:sz w:val="24"/>
        </w:rPr>
        <w:t xml:space="preserve">В случае, когда по изменяемым счетам аналитического учета (номерам счетов) рабочего плана счетов согласно данным регистров бухгалтерского учета отчетного года имеются показатели активов, обязательств, иных объектов бухгалтерского учета, то перевод таких показателей осуществляется операциями межотчетного периода текущего финансового года с отражением в Журнале операций межотчетного периода (ф. 0504071) с учетом следующего:</w:t>
      </w:r>
    </w:p>
    <w:p>
      <w:pPr>
        <w:pStyle w:val="0"/>
        <w:spacing w:before="240" w:lineRule="auto"/>
        <w:ind w:firstLine="540"/>
        <w:jc w:val="both"/>
      </w:pPr>
      <w:r>
        <w:rPr>
          <w:sz w:val="24"/>
        </w:rPr>
        <w:t xml:space="preserve">1) показатели счетов аналитического учета дебиторской задолженности по расходам, в отношении которой в текущем году ожидается принятие и исполнение денежных обязательств по факту поставки товаров, выполнения работ, оказания услуг, предоставления (утверждения) документов (отчетов), подтверждающих завершение расчетов по предоставленным авансам (дебиторской задолженности), подлежат отражению по номерам счетов, содержащим КБК, по которым предусматривается исполнение принимаемых денежных обязательств в текущем финансовом году (очередных плановых периодах);</w:t>
      </w:r>
    </w:p>
    <w:p>
      <w:pPr>
        <w:pStyle w:val="0"/>
        <w:spacing w:before="240" w:lineRule="auto"/>
        <w:ind w:firstLine="540"/>
        <w:jc w:val="both"/>
      </w:pPr>
      <w:r>
        <w:rPr>
          <w:sz w:val="24"/>
        </w:rPr>
        <w:t xml:space="preserve">2) показатели счетов аналитического учета дебиторской задолженности по расходам, относящейся к немонетарным активам и не являющейся просроченной (в частности, расчетов по авансовым платежам в размере 100 процентов суммы договора (контракта), соглашения), подлежат отражению по номерам счетов, содержащим КБК, применяемым на момент признания в учете дебиторской задолженности с учетом сопоставительных таблиц по ранее произведенным изменениям КБК (их составных частей);</w:t>
      </w:r>
    </w:p>
    <w:p>
      <w:pPr>
        <w:pStyle w:val="0"/>
        <w:spacing w:before="240" w:lineRule="auto"/>
        <w:ind w:firstLine="540"/>
        <w:jc w:val="both"/>
      </w:pPr>
      <w:r>
        <w:rPr>
          <w:sz w:val="24"/>
        </w:rPr>
        <w:t xml:space="preserve">3) показатели счетов аналитического учета кредиторской задолженности подлежат отражению по номерам счетов, содержащим КБК, по которым предусматривается исполнение принятых денежных обязательств в текущем финансовом году (очередных плановых периодах).</w:t>
      </w:r>
    </w:p>
    <w:p>
      <w:pPr>
        <w:pStyle w:val="0"/>
        <w:spacing w:before="240" w:lineRule="auto"/>
        <w:ind w:firstLine="540"/>
        <w:jc w:val="both"/>
      </w:pPr>
      <w:r>
        <w:rPr>
          <w:sz w:val="24"/>
        </w:rPr>
        <w:t xml:space="preserve">Обращаем внимание, что:</w:t>
      </w:r>
    </w:p>
    <w:p>
      <w:pPr>
        <w:pStyle w:val="0"/>
        <w:spacing w:before="240" w:lineRule="auto"/>
        <w:ind w:firstLine="540"/>
        <w:jc w:val="both"/>
      </w:pPr>
      <w:r>
        <w:rPr>
          <w:sz w:val="24"/>
        </w:rPr>
        <w:t xml:space="preserve">1) показатели счетов аналитического учета кредиторской задолженности, не востребованной кредиторами по результатам обязательной инвентаризации, проводимой в целях составления годовой бухгалтерской (финансовой) отчетности (с учетом Методических рекомендаций по инвентаризации &lt;6&gt;) (далее - годовая инвентаризация), отражаются на забалансовом счете 20 "Задолженность, невостребованная кредиторами" с аналитическим признаком КБК, по которому учитывалось принятое и неисполненное денежное обязательство;</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Методические </w:t>
      </w:r>
      <w:hyperlink w:history="0" r:id="rId23" w:tooltip="&lt;Письмо&gt; Минфина России от 01.07.2024 N 02-06-06/61122 &quot;Методические рекомендации по применению Общих требований к организации инвентаризации активов и обязательств, установленных СГС &quot;Учетная политика&quot; (вместе с &quot;Методическими рекомендациями к Общим требованиям к организации инвентаризации активов и обязательств, осуществляемой в целях обеспечения достоверности данных бухгалтерского учета, бухгалтерской (финансовой) отчетности&quot;) {КонсультантПлюс}">
        <w:r>
          <w:rPr>
            <w:sz w:val="24"/>
            <w:color w:val="0000ff"/>
          </w:rPr>
          <w:t xml:space="preserve">рекомендации</w:t>
        </w:r>
      </w:hyperlink>
      <w:r>
        <w:rPr>
          <w:sz w:val="24"/>
        </w:rPr>
        <w:t xml:space="preserve"> к Общим требованиям к организации инвентаризации активов и обязательств, осуществляемой в целях обеспечения достоверности данных бухгалтерского учета, бухгалтерской (финансовой) отчетности, доведенные письмом Министерства финансов Российской Федерации от 01.07.2024 N 02-06-06/61122 (далее - Методические рекомендации по инвентаризации).</w:t>
      </w:r>
    </w:p>
    <w:p>
      <w:pPr>
        <w:pStyle w:val="0"/>
        <w:ind w:firstLine="540"/>
        <w:jc w:val="both"/>
      </w:pPr>
      <w:r>
        <w:rPr>
          <w:sz w:val="24"/>
        </w:rPr>
      </w:r>
    </w:p>
    <w:p>
      <w:pPr>
        <w:pStyle w:val="0"/>
        <w:ind w:firstLine="540"/>
        <w:jc w:val="both"/>
      </w:pPr>
      <w:r>
        <w:rPr>
          <w:sz w:val="24"/>
        </w:rPr>
        <w:t xml:space="preserve">2) показатели счетов аналитического учета дебиторской задолженности по расходам, являющейся просроченной и относящейся к немонетарным активам, по которой выставлены требования о возврате (ведется претензионная работа) (по результатам проведения годовой инвентаризации), подлежат реклассификации на счета учета дебиторской задолженности по доходам (счет 0 209 00 000 "Расчеты по ущербу и иным доходам") с отражением в составе номера счета соответствующего кода классификации доходов бюджетов Российской Федерации;</w:t>
      </w:r>
    </w:p>
    <w:p>
      <w:pPr>
        <w:pStyle w:val="0"/>
        <w:spacing w:before="240" w:lineRule="auto"/>
        <w:ind w:firstLine="540"/>
        <w:jc w:val="both"/>
      </w:pPr>
      <w:r>
        <w:rPr>
          <w:sz w:val="24"/>
        </w:rPr>
        <w:t xml:space="preserve">3) отражение в учете показателей по счетам аналитического учета кредиторской задолженности, содержащим в 1 - 17 знаках номера счета "нули", является необоснованным;</w:t>
      </w:r>
    </w:p>
    <w:p>
      <w:pPr>
        <w:pStyle w:val="0"/>
        <w:spacing w:before="240" w:lineRule="auto"/>
        <w:ind w:firstLine="540"/>
        <w:jc w:val="both"/>
      </w:pPr>
      <w:r>
        <w:rPr>
          <w:sz w:val="24"/>
        </w:rPr>
        <w:t xml:space="preserve">4) перенос показателей (остатки, обороты) по соответствующим аналитическим счетам санкционирования расходов, сформированных в отчетном финансовом году за первый, второй годы, следующие за текущим (очередным) финансовым годом, осуществляется в первый рабочий день текущего года.</w:t>
      </w:r>
    </w:p>
    <w:p>
      <w:pPr>
        <w:pStyle w:val="0"/>
        <w:spacing w:before="240" w:lineRule="auto"/>
        <w:ind w:firstLine="540"/>
        <w:jc w:val="both"/>
      </w:pPr>
      <w:r>
        <w:rPr>
          <w:sz w:val="24"/>
        </w:rPr>
        <w:t xml:space="preserve">В целях отражения актуальных КБК федерального бюджета в номере счета соответствующего рабочего плана счетов в 2026 году Министерство финансов Российской Федерации сообщает следующее.</w:t>
      </w:r>
    </w:p>
    <w:p>
      <w:pPr>
        <w:pStyle w:val="0"/>
        <w:spacing w:before="240" w:lineRule="auto"/>
        <w:ind w:firstLine="540"/>
        <w:jc w:val="both"/>
      </w:pPr>
      <w:r>
        <w:rPr>
          <w:sz w:val="24"/>
        </w:rPr>
        <w:t xml:space="preserve">Согласно пункту 2.6 изменений, которые вносятся приказом Министерства финансов Российской Федерации от 1 декабря 2025 г. N 172н (находится на государственной регистрации в Минюсте России) в Порядок формирования и применения кодов бюджетной классификации Российской Федерации, их структуру и принципы назначения, утвержденные приказом Министерства финансов Российской Федерации от 24 мая 2022 г. N 82н, для учета расчетов по выданным до начала текущего финансового года авансам (дебиторской задолженности по расходам) применяются коды бюджетной классификации Российской Федерации текущего финансового года.</w:t>
      </w:r>
    </w:p>
    <w:p>
      <w:pPr>
        <w:pStyle w:val="0"/>
        <w:spacing w:before="240" w:lineRule="auto"/>
        <w:ind w:firstLine="540"/>
        <w:jc w:val="both"/>
      </w:pPr>
      <w:r>
        <w:rPr>
          <w:sz w:val="24"/>
        </w:rPr>
        <w:t xml:space="preserve">В случае отсутствия в текущем финансовом году установленных Министерством финансов Российской Федерации кодов целевых статей расходов федерального бюджета, при переносе показателей по счетам аналитического учета рабочего плана счетов, содержащих такие целевые статьи расходов, применяются КБК (целевые статьи расходов), по которым поставлены на учет расчеты до начала текущего финансового года.</w:t>
      </w:r>
    </w:p>
    <w:p>
      <w:pPr>
        <w:pStyle w:val="0"/>
        <w:spacing w:before="240" w:lineRule="auto"/>
        <w:ind w:firstLine="540"/>
        <w:jc w:val="both"/>
      </w:pPr>
      <w:r>
        <w:rPr>
          <w:sz w:val="24"/>
        </w:rPr>
        <w:t xml:space="preserve">Уточнение счетов аналитического учета рабочего плана счетов, применяемых для отражения показателей расчетов по расходам, в части изменения КБК (их составных частей) осуществляется с одновременным направлением в текущем финансовом году (при необходимости) в территориальный орган Федерального казначейства Сведений о бюджетном (денежном) обязательстве.</w:t>
      </w:r>
    </w:p>
    <w:p>
      <w:pPr>
        <w:pStyle w:val="0"/>
        <w:spacing w:before="240" w:lineRule="auto"/>
        <w:ind w:firstLine="540"/>
        <w:jc w:val="both"/>
      </w:pPr>
      <w:r>
        <w:rPr>
          <w:sz w:val="24"/>
        </w:rPr>
        <w:t xml:space="preserve">Главные распорядители средств федерального бюджета направляют предложения по внесению изменений в нормативно-справочную информацию государственной интегрированной информационной системы управления общественными финансами "Электронный бюджет" (далее - ГИИС "Электронный бюджет") в целях утверждения КБК, по которым поставлены на учет обязательства, либо новых КБК (КБК-преемников) для их последующего утверждения Министерством финансов Российской Федерации.</w:t>
      </w:r>
    </w:p>
    <w:p>
      <w:pPr>
        <w:pStyle w:val="0"/>
        <w:spacing w:before="240" w:lineRule="auto"/>
        <w:ind w:firstLine="540"/>
        <w:jc w:val="both"/>
      </w:pPr>
      <w:r>
        <w:rPr>
          <w:sz w:val="24"/>
        </w:rPr>
        <w:t xml:space="preserve">При изменении КБК (их составных частей) в составе счетов аналитического учета рабочего плана счетов, применяемых для отражения показателей расчетов по расходам, главным распорядителям средств федерального бюджета необходимо:</w:t>
      </w:r>
    </w:p>
    <w:p>
      <w:pPr>
        <w:pStyle w:val="0"/>
        <w:spacing w:before="240" w:lineRule="auto"/>
        <w:ind w:firstLine="540"/>
        <w:jc w:val="both"/>
      </w:pPr>
      <w:r>
        <w:rPr>
          <w:sz w:val="24"/>
        </w:rPr>
        <w:t xml:space="preserve">а) при наличии действующих КБК &lt;7&gt; направить в Министерство финансов Российской Федерации предложения в сопоставительную таблицу кодов классификации расходов федерального бюджета, применяемых в предыдущих финансовых годах, к кодам классификации расходов федерального бюджета, применяемым в 2026 году, по форме согласно </w:t>
      </w:r>
      <w:hyperlink w:history="0" w:anchor="P77" w:tooltip="Предложения">
        <w:r>
          <w:rPr>
            <w:sz w:val="24"/>
            <w:color w:val="0000ff"/>
          </w:rPr>
          <w:t xml:space="preserve">приложению N 1</w:t>
        </w:r>
      </w:hyperlink>
      <w:r>
        <w:rPr>
          <w:sz w:val="24"/>
        </w:rPr>
        <w:t xml:space="preserve"> к настоящему письму;</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Коды бюджетной классификации, содержащиеся в справочниках ГИИС "Электронный бюджет" и утвержденные приказом Министерства финансов Российской Федерации (на 2026 год - приказ Министерства финансов Российской Федерации от 10 июня 2025 г. N 70н "Об утверждении кодов (перечней кодов) бюджетной классификации Российской Федерации на 2026 год (на 2026 год и на плановый период 2027 и 2028 годов)" (далее - Приказ N 70н).</w:t>
      </w:r>
    </w:p>
    <w:p>
      <w:pPr>
        <w:pStyle w:val="0"/>
        <w:ind w:firstLine="540"/>
        <w:jc w:val="both"/>
      </w:pPr>
      <w:r>
        <w:rPr>
          <w:sz w:val="24"/>
        </w:rPr>
      </w:r>
    </w:p>
    <w:p>
      <w:pPr>
        <w:pStyle w:val="0"/>
        <w:ind w:firstLine="540"/>
        <w:jc w:val="both"/>
      </w:pPr>
      <w:r>
        <w:rPr>
          <w:sz w:val="24"/>
        </w:rPr>
        <w:t xml:space="preserve">б) при отсутствии действующих КБК представить в ГИИС "Электронный бюджет" в разделе "Нормативная справочная информация", реестре "Предложения по внесению изменений в НСИ", тип документа "Добавление нового мероприятия (результата)"/"Изменение мероприятия (результата)" (далее - заявка НСИ) предложения по введению целевых статей расходов (направлений расходов), двадцатизначного кода классификации расходов федерального бюджета.</w:t>
      </w:r>
    </w:p>
    <w:p>
      <w:pPr>
        <w:pStyle w:val="0"/>
        <w:spacing w:before="240" w:lineRule="auto"/>
        <w:ind w:firstLine="540"/>
        <w:jc w:val="both"/>
      </w:pPr>
      <w:r>
        <w:rPr>
          <w:sz w:val="24"/>
        </w:rPr>
        <w:t xml:space="preserve">Необходимо отметить, что для счетов аналитического учета рабочего плана счетов, применяемых для отражения показателей расчетов по расходам, возникших (принятых на учет) до начала текущего финансового года, содержащих в части КБК недействующий код структурного элемента государственной программы Российской Федерации, при внесении изменений в аналитический счет необходимо предусмотреть КБК, содержащий утвержденный приказом Министерства финансов Российской Федерации на соответствующий финансовый год (на 2026 год - Приказом N 70н) код структурного элемента государственной программы Российской Федерации, непрограммного направления деятельности, соответствующий целям и задачам поставленных на учет обязательств.</w:t>
      </w:r>
    </w:p>
    <w:p>
      <w:pPr>
        <w:pStyle w:val="0"/>
        <w:spacing w:before="240" w:lineRule="auto"/>
        <w:ind w:firstLine="540"/>
        <w:jc w:val="both"/>
      </w:pPr>
      <w:r>
        <w:rPr>
          <w:sz w:val="24"/>
        </w:rPr>
        <w:t xml:space="preserve">При формировании заявки НСИ в разделе "Обоснование и анализ предлагаемых изменений" необходимо указать цели формирования предложения, обусловленные незакрытыми расчетами по расходам, а также период (год постановки на учет), в котором возникла задолженность и КБК, по которому она была ранее учтена.</w:t>
      </w:r>
    </w:p>
    <w:p>
      <w:pPr>
        <w:pStyle w:val="0"/>
        <w:spacing w:before="240" w:lineRule="auto"/>
        <w:ind w:firstLine="540"/>
        <w:jc w:val="both"/>
      </w:pPr>
      <w:r>
        <w:rPr>
          <w:sz w:val="24"/>
        </w:rPr>
        <w:t xml:space="preserve">Последовательность действий в связи с выявлением недействующих КБК в аналитических счетах учета расчетов по расходам представлена на схеме в </w:t>
      </w:r>
      <w:hyperlink w:history="0" w:anchor="P99" w:tooltip="СХЕМА">
        <w:r>
          <w:rPr>
            <w:sz w:val="24"/>
            <w:color w:val="0000ff"/>
          </w:rPr>
          <w:t xml:space="preserve">приложении N 2</w:t>
        </w:r>
      </w:hyperlink>
      <w:r>
        <w:rPr>
          <w:sz w:val="24"/>
        </w:rPr>
        <w:t xml:space="preserve"> к настоящему письму.</w:t>
      </w:r>
    </w:p>
    <w:p>
      <w:pPr>
        <w:pStyle w:val="0"/>
        <w:ind w:firstLine="540"/>
        <w:jc w:val="both"/>
      </w:pPr>
      <w:r>
        <w:rPr>
          <w:sz w:val="24"/>
        </w:rPr>
      </w:r>
    </w:p>
    <w:p>
      <w:pPr>
        <w:pStyle w:val="0"/>
        <w:jc w:val="right"/>
      </w:pPr>
      <w:r>
        <w:rPr>
          <w:sz w:val="24"/>
        </w:rPr>
        <w:t xml:space="preserve">Н.А.БЕГЧИН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1</w:t>
      </w:r>
    </w:p>
    <w:p>
      <w:pPr>
        <w:pStyle w:val="0"/>
        <w:jc w:val="right"/>
      </w:pPr>
      <w:r>
        <w:rPr>
          <w:sz w:val="24"/>
        </w:rPr>
        <w:t xml:space="preserve">к письму Министерства финансов</w:t>
      </w:r>
    </w:p>
    <w:p>
      <w:pPr>
        <w:pStyle w:val="0"/>
        <w:jc w:val="right"/>
      </w:pPr>
      <w:r>
        <w:rPr>
          <w:sz w:val="24"/>
        </w:rPr>
        <w:t xml:space="preserve">Российской Федерации</w:t>
      </w:r>
    </w:p>
    <w:p>
      <w:pPr>
        <w:pStyle w:val="0"/>
        <w:jc w:val="center"/>
      </w:pPr>
      <w:r>
        <w:rPr>
          <w:sz w:val="24"/>
        </w:rPr>
      </w:r>
    </w:p>
    <w:bookmarkStart w:id="77" w:name="P77"/>
    <w:bookmarkEnd w:id="77"/>
    <w:p>
      <w:pPr>
        <w:pStyle w:val="0"/>
        <w:jc w:val="center"/>
      </w:pPr>
      <w:r>
        <w:rPr>
          <w:sz w:val="24"/>
        </w:rPr>
        <w:t xml:space="preserve">Предложения</w:t>
      </w:r>
    </w:p>
    <w:p>
      <w:pPr>
        <w:pStyle w:val="0"/>
        <w:jc w:val="center"/>
      </w:pPr>
      <w:r>
        <w:rPr>
          <w:sz w:val="24"/>
        </w:rPr>
        <w:t xml:space="preserve">в сопоставительную таблицу кодов классификации расходов</w:t>
      </w:r>
    </w:p>
    <w:p>
      <w:pPr>
        <w:pStyle w:val="0"/>
        <w:jc w:val="center"/>
      </w:pPr>
      <w:r>
        <w:rPr>
          <w:sz w:val="24"/>
        </w:rPr>
        <w:t xml:space="preserve">федерального бюджета</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42"/>
        <w:gridCol w:w="2098"/>
        <w:gridCol w:w="3231"/>
      </w:tblGrid>
      <w:tr>
        <w:tc>
          <w:tcPr>
            <w:tcW w:w="3742" w:type="dxa"/>
          </w:tcPr>
          <w:p>
            <w:pPr>
              <w:pStyle w:val="0"/>
              <w:jc w:val="center"/>
            </w:pPr>
            <w:r>
              <w:rPr>
                <w:sz w:val="24"/>
              </w:rPr>
              <w:t xml:space="preserve">Код бюджетной классификации, применяемый в год постановки на учет расчетов</w:t>
            </w:r>
          </w:p>
        </w:tc>
        <w:tc>
          <w:tcPr>
            <w:tcW w:w="2098" w:type="dxa"/>
          </w:tcPr>
          <w:p>
            <w:pPr>
              <w:pStyle w:val="0"/>
              <w:jc w:val="center"/>
            </w:pPr>
            <w:r>
              <w:rPr>
                <w:sz w:val="24"/>
              </w:rPr>
              <w:t xml:space="preserve">Год постановки на учет расчетов</w:t>
            </w:r>
          </w:p>
        </w:tc>
        <w:tc>
          <w:tcPr>
            <w:tcW w:w="3231" w:type="dxa"/>
          </w:tcPr>
          <w:p>
            <w:pPr>
              <w:pStyle w:val="0"/>
              <w:jc w:val="center"/>
            </w:pPr>
            <w:r>
              <w:rPr>
                <w:sz w:val="24"/>
              </w:rPr>
              <w:t xml:space="preserve">Код бюджетной классификации, применяемый в 2026 г.</w:t>
            </w:r>
          </w:p>
        </w:tc>
      </w:tr>
      <w:tr>
        <w:tc>
          <w:tcPr>
            <w:tcW w:w="3742"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3231" w:type="dxa"/>
            <w:vAlign w:val="center"/>
          </w:tcPr>
          <w:p>
            <w:pPr>
              <w:pStyle w:val="0"/>
              <w:jc w:val="center"/>
            </w:pPr>
            <w:r>
              <w:rPr>
                <w:sz w:val="24"/>
              </w:rPr>
              <w:t xml:space="preserve">...</w:t>
            </w:r>
          </w:p>
        </w:tc>
      </w:tr>
      <w:tr>
        <w:tc>
          <w:tcPr>
            <w:tcW w:w="3742" w:type="dxa"/>
            <w:vAlign w:val="center"/>
          </w:tcPr>
          <w:p>
            <w:pPr>
              <w:pStyle w:val="0"/>
              <w:jc w:val="center"/>
            </w:pPr>
            <w:r>
              <w:rPr>
                <w:sz w:val="24"/>
              </w:rPr>
            </w:r>
          </w:p>
        </w:tc>
        <w:tc>
          <w:tcPr>
            <w:tcW w:w="2098" w:type="dxa"/>
            <w:vAlign w:val="center"/>
          </w:tcPr>
          <w:p>
            <w:pPr>
              <w:pStyle w:val="0"/>
              <w:jc w:val="center"/>
            </w:pPr>
            <w:r>
              <w:rPr>
                <w:sz w:val="24"/>
              </w:rPr>
            </w:r>
          </w:p>
        </w:tc>
        <w:tc>
          <w:tcPr>
            <w:tcW w:w="3231" w:type="dxa"/>
            <w:vAlign w:val="center"/>
          </w:tcPr>
          <w:p>
            <w:pPr>
              <w:pStyle w:val="0"/>
              <w:jc w:val="center"/>
            </w:pPr>
            <w:r>
              <w:rPr>
                <w:sz w:val="24"/>
              </w:rPr>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2</w:t>
      </w:r>
    </w:p>
    <w:p>
      <w:pPr>
        <w:pStyle w:val="0"/>
        <w:jc w:val="right"/>
      </w:pPr>
      <w:r>
        <w:rPr>
          <w:sz w:val="24"/>
        </w:rPr>
        <w:t xml:space="preserve">к письму Министерства финансов</w:t>
      </w:r>
    </w:p>
    <w:p>
      <w:pPr>
        <w:pStyle w:val="0"/>
        <w:jc w:val="right"/>
      </w:pPr>
      <w:r>
        <w:rPr>
          <w:sz w:val="24"/>
        </w:rPr>
        <w:t xml:space="preserve">Российской Федерации</w:t>
      </w:r>
    </w:p>
    <w:p>
      <w:pPr>
        <w:pStyle w:val="0"/>
        <w:jc w:val="center"/>
      </w:pPr>
      <w:r>
        <w:rPr>
          <w:sz w:val="24"/>
        </w:rPr>
      </w:r>
    </w:p>
    <w:bookmarkStart w:id="99" w:name="P99"/>
    <w:bookmarkEnd w:id="99"/>
    <w:p>
      <w:pPr>
        <w:pStyle w:val="2"/>
        <w:jc w:val="center"/>
      </w:pPr>
      <w:r>
        <w:rPr>
          <w:sz w:val="24"/>
        </w:rPr>
        <w:t xml:space="preserve">СХЕМА</w:t>
      </w:r>
    </w:p>
    <w:p>
      <w:pPr>
        <w:pStyle w:val="2"/>
        <w:jc w:val="center"/>
      </w:pPr>
      <w:r>
        <w:rPr>
          <w:sz w:val="24"/>
        </w:rPr>
        <w:t xml:space="preserve">ПО АКТУАЛИЗАЦИИ КОДОВ КЛАССИФИКАЦИИ РАСХОДОВ</w:t>
      </w:r>
    </w:p>
    <w:p>
      <w:pPr>
        <w:pStyle w:val="2"/>
        <w:jc w:val="center"/>
      </w:pPr>
      <w:r>
        <w:rPr>
          <w:sz w:val="24"/>
        </w:rPr>
        <w:t xml:space="preserve">ФЕДЕРАЛЬНОГО БЮДЖЕТА</w:t>
      </w:r>
    </w:p>
    <w:p>
      <w:pPr>
        <w:pStyle w:val="0"/>
        <w:jc w:val="center"/>
      </w:pPr>
      <w:r>
        <w:rPr>
          <w:sz w:val="24"/>
        </w:rPr>
      </w:r>
    </w:p>
    <w:p>
      <w:pPr>
        <w:pStyle w:val="0"/>
        <w:jc w:val="center"/>
      </w:pPr>
      <w:r>
        <w:rPr>
          <w:position w:val="-293"/>
        </w:rPr>
        <w:drawing>
          <wp:inline distT="0" distB="0" distL="0" distR="0">
            <wp:extent cx="6045835" cy="38849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
                      <a:extLst>
                        <a:ext uri="{28A0092B-C50C-407E-A947-70E740481C1C}">
                          <a14:useLocalDpi xmlns:a14="http://schemas.microsoft.com/office/drawing/2010/main" val="0"/>
                        </a:ext>
                      </a:extLst>
                    </a:blip>
                    <a:srcRect/>
                    <a:stretch>
                      <a:fillRect/>
                    </a:stretch>
                  </pic:blipFill>
                  <pic:spPr bwMode="auto">
                    <a:xfrm>
                      <a:off x="0" y="0"/>
                      <a:ext cx="6045835" cy="3884930"/>
                    </a:xfrm>
                    <a:prstGeom prst="rect">
                      <a:avLst/>
                    </a:prstGeom>
                    <a:noFill/>
                    <a:ln>
                      <a:noFill/>
                    </a:ln>
                  </pic:spPr>
                </pic:pic>
              </a:graphicData>
            </a:graphic>
          </wp:inline>
        </w:drawing>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Минфина России от 18.02.2026 N 02-07-06/12539</w:t>
            <w:br/>
            <w:t>"О применении кодов бюджетной классификации Российской Федерации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9070&amp;date=24.02.2026&amp;dst=100016&amp;field=134&amp;demo=2" TargetMode = "External"/><Relationship Id="rId9" Type="http://schemas.openxmlformats.org/officeDocument/2006/relationships/hyperlink" Target="https://login.consultant.ru/link/?req=doc&amp;base=LAW&amp;n=509070&amp;date=24.02.2026&amp;dst=100016&amp;field=134&amp;demo=2" TargetMode = "External"/><Relationship Id="rId10" Type="http://schemas.openxmlformats.org/officeDocument/2006/relationships/hyperlink" Target="https://login.consultant.ru/link/?req=doc&amp;base=LAW&amp;n=486219&amp;date=24.02.2026&amp;dst=100027&amp;field=134&amp;demo=2" TargetMode = "External"/><Relationship Id="rId11" Type="http://schemas.openxmlformats.org/officeDocument/2006/relationships/hyperlink" Target="https://login.consultant.ru/link/?req=doc&amp;base=LAW&amp;n=486219&amp;date=24.02.2026&amp;dst=100033&amp;field=134&amp;demo=2" TargetMode = "External"/><Relationship Id="rId12" Type="http://schemas.openxmlformats.org/officeDocument/2006/relationships/hyperlink" Target="https://login.consultant.ru/link/?req=doc&amp;base=LAW&amp;n=486219&amp;date=24.02.2026&amp;dst=100071&amp;field=134&amp;demo=2" TargetMode = "External"/><Relationship Id="rId13" Type="http://schemas.openxmlformats.org/officeDocument/2006/relationships/hyperlink" Target="https://login.consultant.ru/link/?req=doc&amp;base=LAW&amp;n=492985&amp;date=24.02.2026&amp;dst=100033&amp;field=134&amp;demo=2" TargetMode = "External"/><Relationship Id="rId14" Type="http://schemas.openxmlformats.org/officeDocument/2006/relationships/hyperlink" Target="https://login.consultant.ru/link/?req=doc&amp;base=LAW&amp;n=492985&amp;date=24.02.2026&amp;dst=100081&amp;field=134&amp;demo=2" TargetMode = "External"/><Relationship Id="rId15" Type="http://schemas.openxmlformats.org/officeDocument/2006/relationships/hyperlink" Target="https://login.consultant.ru/link/?req=doc&amp;base=LAW&amp;n=492986&amp;date=24.02.2026&amp;dst=100034&amp;field=134&amp;demo=2" TargetMode = "External"/><Relationship Id="rId16" Type="http://schemas.openxmlformats.org/officeDocument/2006/relationships/hyperlink" Target="https://login.consultant.ru/link/?req=doc&amp;base=LAW&amp;n=492986&amp;date=24.02.2026&amp;dst=100070&amp;field=134&amp;demo=2" TargetMode = "External"/><Relationship Id="rId17" Type="http://schemas.openxmlformats.org/officeDocument/2006/relationships/hyperlink" Target="https://login.consultant.ru/link/?req=doc&amp;base=LAW&amp;n=495710&amp;date=24.02.2026&amp;demo=2" TargetMode = "External"/><Relationship Id="rId18" Type="http://schemas.openxmlformats.org/officeDocument/2006/relationships/hyperlink" Target="https://login.consultant.ru/link/?req=doc&amp;base=LAW&amp;n=495710&amp;date=24.02.2026&amp;dst=1190&amp;field=134&amp;demo=2" TargetMode = "External"/><Relationship Id="rId19" Type="http://schemas.openxmlformats.org/officeDocument/2006/relationships/hyperlink" Target="https://login.consultant.ru/link/?req=doc&amp;base=LAW&amp;n=514031&amp;date=24.02.2026&amp;dst=100052&amp;field=134&amp;demo=2" TargetMode = "External"/><Relationship Id="rId20" Type="http://schemas.openxmlformats.org/officeDocument/2006/relationships/hyperlink" Target="https://login.consultant.ru/link/?req=doc&amp;base=LAW&amp;n=514031&amp;date=24.02.2026&amp;dst=100025&amp;field=134&amp;demo=2" TargetMode = "External"/><Relationship Id="rId21" Type="http://schemas.openxmlformats.org/officeDocument/2006/relationships/hyperlink" Target="https://minfin.gov.ru/" TargetMode = "External"/><Relationship Id="rId22" Type="http://schemas.openxmlformats.org/officeDocument/2006/relationships/hyperlink" Target="https://login.consultant.ru/link/?req=doc&amp;base=LAW&amp;n=504848&amp;date=24.02.2026&amp;dst=100011&amp;field=134&amp;demo=2" TargetMode = "External"/><Relationship Id="rId23" Type="http://schemas.openxmlformats.org/officeDocument/2006/relationships/hyperlink" Target="https://login.consultant.ru/link/?req=doc&amp;base=LAW&amp;n=482221&amp;date=24.02.2026&amp;dst=100008&amp;field=134&amp;demo=2" TargetMode = "External"/><Relationship Id="rId24" Type="http://schemas.openxmlformats.org/officeDocument/2006/relationships/image" Target="media/image2.png"/></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Минфина России от 18.02.2026 N 02-07-06/12539
"О применении кодов бюджетной классификации Российской Федерации в аналитических счетах рабочих планов счетов организаций бюджетной сферы"
(вместе со "Схемой по актуализации кодов классификации расходов федерального бюджета")</dc:title>
  <dcterms:created xsi:type="dcterms:W3CDTF">2026-02-24T13:33:57Z</dcterms:created>
</cp:coreProperties>
</file>