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556" w:rsidRPr="00030556" w:rsidRDefault="00030556" w:rsidP="00030556">
      <w:pPr>
        <w:shd w:val="clear" w:color="auto" w:fill="FFFFFF"/>
        <w:spacing w:after="100" w:afterAutospacing="1" w:line="240" w:lineRule="auto"/>
        <w:outlineLvl w:val="0"/>
        <w:rPr>
          <w:rFonts w:ascii="Segoe UI" w:eastAsia="Times New Roman" w:hAnsi="Segoe UI" w:cs="Segoe UI"/>
          <w:color w:val="212529"/>
          <w:kern w:val="36"/>
          <w:sz w:val="48"/>
          <w:szCs w:val="48"/>
          <w:lang w:eastAsia="ru-RU"/>
        </w:rPr>
      </w:pPr>
      <w:r w:rsidRPr="00030556">
        <w:rPr>
          <w:rFonts w:ascii="Segoe UI" w:eastAsia="Times New Roman" w:hAnsi="Segoe UI" w:cs="Segoe UI"/>
          <w:color w:val="212529"/>
          <w:kern w:val="36"/>
          <w:sz w:val="48"/>
          <w:szCs w:val="48"/>
          <w:lang w:eastAsia="ru-RU"/>
        </w:rPr>
        <w:t>Постановление Правительства Российской Федерации от 30 декабря 2025 г. № 2230 “О стандарте общественного капитала бизнеса” (документ не вступил в силу)</w:t>
      </w:r>
    </w:p>
    <w:p w:rsidR="00030556" w:rsidRPr="00030556" w:rsidRDefault="00030556" w:rsidP="00030556">
      <w:pPr>
        <w:shd w:val="clear" w:color="auto" w:fill="FFFFFF"/>
        <w:spacing w:after="100" w:afterAutospacing="1" w:line="240" w:lineRule="auto"/>
        <w:outlineLvl w:val="1"/>
        <w:rPr>
          <w:rFonts w:ascii="Segoe UI" w:eastAsia="Times New Roman" w:hAnsi="Segoe UI" w:cs="Segoe UI"/>
          <w:color w:val="212529"/>
          <w:sz w:val="36"/>
          <w:szCs w:val="36"/>
          <w:lang w:eastAsia="ru-RU"/>
        </w:rPr>
      </w:pPr>
      <w:bookmarkStart w:id="0" w:name="0"/>
      <w:bookmarkEnd w:id="0"/>
      <w:r w:rsidRPr="00030556">
        <w:rPr>
          <w:rFonts w:ascii="Segoe UI" w:eastAsia="Times New Roman" w:hAnsi="Segoe UI" w:cs="Segoe UI"/>
          <w:color w:val="212529"/>
          <w:sz w:val="36"/>
          <w:szCs w:val="36"/>
          <w:lang w:eastAsia="ru-RU"/>
        </w:rPr>
        <w:t>Постановление Правительства Российской Федерации от 30 декабря 2025 г. № 2230</w:t>
      </w:r>
      <w:r w:rsidRPr="00030556">
        <w:rPr>
          <w:rFonts w:ascii="Segoe UI" w:eastAsia="Times New Roman" w:hAnsi="Segoe UI" w:cs="Segoe UI"/>
          <w:color w:val="212529"/>
          <w:sz w:val="36"/>
          <w:szCs w:val="36"/>
          <w:lang w:eastAsia="ru-RU"/>
        </w:rPr>
        <w:br/>
        <w:t>“О стандарте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Правительство Российской Федерации постановляет:</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1. Утвердить прилагаемый </w:t>
      </w:r>
      <w:hyperlink r:id="rId4" w:anchor="1000" w:history="1">
        <w:r w:rsidRPr="00030556">
          <w:rPr>
            <w:rFonts w:ascii="Segoe UI" w:eastAsia="Times New Roman" w:hAnsi="Segoe UI" w:cs="Segoe UI"/>
            <w:color w:val="6C757D"/>
            <w:sz w:val="24"/>
            <w:szCs w:val="24"/>
            <w:u w:val="single"/>
            <w:lang w:eastAsia="ru-RU"/>
          </w:rPr>
          <w:t>стандарт</w:t>
        </w:r>
      </w:hyperlink>
      <w:r w:rsidRPr="00030556">
        <w:rPr>
          <w:rFonts w:ascii="Segoe UI" w:eastAsia="Times New Roman" w:hAnsi="Segoe UI" w:cs="Segoe UI"/>
          <w:color w:val="212529"/>
          <w:sz w:val="24"/>
          <w:szCs w:val="24"/>
          <w:lang w:eastAsia="ru-RU"/>
        </w:rPr>
        <w:t>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2. Согласиться с предложением Министерства экономического развития Российской Федерации об определении координатором системы верификации соответствия деятельности организаций целевым значениям показателей общественного капитала бизнеса на безвозмездной основе автономной некоммерческой организации "Общественный капитал".</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3. Порядок предоставления административных, финансовых и иных мер поддержки организаций, применяющих в своей деятельности </w:t>
      </w:r>
      <w:hyperlink r:id="rId5" w:anchor="1000" w:history="1">
        <w:r w:rsidRPr="00030556">
          <w:rPr>
            <w:rFonts w:ascii="Segoe UI" w:eastAsia="Times New Roman" w:hAnsi="Segoe UI" w:cs="Segoe UI"/>
            <w:color w:val="6C757D"/>
            <w:sz w:val="24"/>
            <w:szCs w:val="24"/>
            <w:u w:val="single"/>
            <w:lang w:eastAsia="ru-RU"/>
          </w:rPr>
          <w:t>стандарт</w:t>
        </w:r>
      </w:hyperlink>
      <w:r w:rsidRPr="00030556">
        <w:rPr>
          <w:rFonts w:ascii="Segoe UI" w:eastAsia="Times New Roman" w:hAnsi="Segoe UI" w:cs="Segoe UI"/>
          <w:color w:val="212529"/>
          <w:sz w:val="24"/>
          <w:szCs w:val="24"/>
          <w:lang w:eastAsia="ru-RU"/>
        </w:rPr>
        <w:t> общественного капитала бизнеса, определяется Правительством Российской Федерации, федеральными органами исполнительной власти, уполномоченными Правительством Российской Федерации, исполнительными органами субъектов Российской Федерации или органами местного самоуправления и настоящим постановлением не регулируется.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4. Применение стандарта общественного капитала бизнеса организациями осуществляется на добровольной основе.</w:t>
      </w:r>
    </w:p>
    <w:tbl>
      <w:tblPr>
        <w:tblW w:w="0" w:type="auto"/>
        <w:tblCellMar>
          <w:top w:w="15" w:type="dxa"/>
          <w:left w:w="15" w:type="dxa"/>
          <w:bottom w:w="15" w:type="dxa"/>
          <w:right w:w="15" w:type="dxa"/>
        </w:tblCellMar>
        <w:tblLook w:val="04A0" w:firstRow="1" w:lastRow="0" w:firstColumn="1" w:lastColumn="0" w:noHBand="0" w:noVBand="1"/>
      </w:tblPr>
      <w:tblGrid>
        <w:gridCol w:w="3008"/>
        <w:gridCol w:w="3008"/>
      </w:tblGrid>
      <w:tr w:rsidR="00030556" w:rsidRPr="00030556" w:rsidTr="00030556">
        <w:tc>
          <w:tcPr>
            <w:tcW w:w="2500" w:type="pct"/>
            <w:tcBorders>
              <w:top w:val="single" w:sz="2" w:space="0" w:color="auto"/>
              <w:left w:val="single" w:sz="2" w:space="0" w:color="auto"/>
              <w:bottom w:val="single" w:sz="2" w:space="0" w:color="auto"/>
              <w:right w:val="single" w:sz="2"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sz w:val="24"/>
                <w:szCs w:val="24"/>
                <w:lang w:eastAsia="ru-RU"/>
              </w:rPr>
            </w:pPr>
            <w:r w:rsidRPr="00030556">
              <w:rPr>
                <w:rFonts w:ascii="Times New Roman" w:eastAsia="Times New Roman" w:hAnsi="Times New Roman" w:cs="Times New Roman"/>
                <w:sz w:val="24"/>
                <w:szCs w:val="24"/>
                <w:lang w:eastAsia="ru-RU"/>
              </w:rPr>
              <w:t>Председатель Правительства</w:t>
            </w:r>
            <w:r w:rsidRPr="00030556">
              <w:rPr>
                <w:rFonts w:ascii="Times New Roman" w:eastAsia="Times New Roman" w:hAnsi="Times New Roman" w:cs="Times New Roman"/>
                <w:sz w:val="24"/>
                <w:szCs w:val="24"/>
                <w:lang w:eastAsia="ru-RU"/>
              </w:rPr>
              <w:br/>
              <w:t>Российской Федерации</w:t>
            </w:r>
          </w:p>
        </w:tc>
        <w:tc>
          <w:tcPr>
            <w:tcW w:w="2500" w:type="pct"/>
            <w:tcBorders>
              <w:top w:val="single" w:sz="2" w:space="0" w:color="auto"/>
              <w:left w:val="single" w:sz="2" w:space="0" w:color="auto"/>
              <w:bottom w:val="single" w:sz="2" w:space="0" w:color="auto"/>
              <w:right w:val="single" w:sz="2"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sz w:val="24"/>
                <w:szCs w:val="24"/>
                <w:lang w:eastAsia="ru-RU"/>
              </w:rPr>
            </w:pPr>
            <w:r w:rsidRPr="00030556">
              <w:rPr>
                <w:rFonts w:ascii="Times New Roman" w:eastAsia="Times New Roman" w:hAnsi="Times New Roman" w:cs="Times New Roman"/>
                <w:sz w:val="24"/>
                <w:szCs w:val="24"/>
                <w:lang w:eastAsia="ru-RU"/>
              </w:rPr>
              <w:t>М. </w:t>
            </w:r>
            <w:proofErr w:type="spellStart"/>
            <w:r w:rsidRPr="00030556">
              <w:rPr>
                <w:rFonts w:ascii="Times New Roman" w:eastAsia="Times New Roman" w:hAnsi="Times New Roman" w:cs="Times New Roman"/>
                <w:sz w:val="24"/>
                <w:szCs w:val="24"/>
                <w:lang w:eastAsia="ru-RU"/>
              </w:rPr>
              <w:t>Мишустин</w:t>
            </w:r>
            <w:proofErr w:type="spellEnd"/>
          </w:p>
        </w:tc>
      </w:tr>
    </w:tbl>
    <w:p w:rsid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bookmarkStart w:id="1" w:name="_GoBack"/>
      <w:bookmarkEnd w:id="1"/>
      <w:r w:rsidRPr="00030556">
        <w:rPr>
          <w:rFonts w:ascii="Segoe UI" w:eastAsia="Times New Roman" w:hAnsi="Segoe UI" w:cs="Segoe UI"/>
          <w:color w:val="212529"/>
          <w:sz w:val="24"/>
          <w:szCs w:val="24"/>
          <w:lang w:eastAsia="ru-RU"/>
        </w:rPr>
        <w:t>УТВЕРЖДЕН</w:t>
      </w:r>
      <w:r w:rsidRPr="00030556">
        <w:rPr>
          <w:rFonts w:ascii="Segoe UI" w:eastAsia="Times New Roman" w:hAnsi="Segoe UI" w:cs="Segoe UI"/>
          <w:color w:val="212529"/>
          <w:sz w:val="24"/>
          <w:szCs w:val="24"/>
          <w:lang w:eastAsia="ru-RU"/>
        </w:rPr>
        <w:br/>
      </w:r>
      <w:hyperlink r:id="rId6" w:anchor="0" w:history="1">
        <w:r w:rsidRPr="00030556">
          <w:rPr>
            <w:rFonts w:ascii="Segoe UI" w:eastAsia="Times New Roman" w:hAnsi="Segoe UI" w:cs="Segoe UI"/>
            <w:color w:val="6C757D"/>
            <w:sz w:val="24"/>
            <w:szCs w:val="24"/>
            <w:u w:val="single"/>
            <w:lang w:eastAsia="ru-RU"/>
          </w:rPr>
          <w:t>постановлением</w:t>
        </w:r>
      </w:hyperlink>
      <w:r w:rsidRPr="00030556">
        <w:rPr>
          <w:rFonts w:ascii="Segoe UI" w:eastAsia="Times New Roman" w:hAnsi="Segoe UI" w:cs="Segoe UI"/>
          <w:color w:val="212529"/>
          <w:sz w:val="24"/>
          <w:szCs w:val="24"/>
          <w:lang w:eastAsia="ru-RU"/>
        </w:rPr>
        <w:t> Правительства</w:t>
      </w:r>
      <w:r w:rsidRPr="00030556">
        <w:rPr>
          <w:rFonts w:ascii="Segoe UI" w:eastAsia="Times New Roman" w:hAnsi="Segoe UI" w:cs="Segoe UI"/>
          <w:color w:val="212529"/>
          <w:sz w:val="24"/>
          <w:szCs w:val="24"/>
          <w:lang w:eastAsia="ru-RU"/>
        </w:rPr>
        <w:br/>
        <w:t>Российской Федерации</w:t>
      </w:r>
      <w:r w:rsidRPr="00030556">
        <w:rPr>
          <w:rFonts w:ascii="Segoe UI" w:eastAsia="Times New Roman" w:hAnsi="Segoe UI" w:cs="Segoe UI"/>
          <w:color w:val="212529"/>
          <w:sz w:val="24"/>
          <w:szCs w:val="24"/>
          <w:lang w:eastAsia="ru-RU"/>
        </w:rPr>
        <w:br/>
        <w:t>от 30 декабря 2025 г. № 2230</w:t>
      </w:r>
    </w:p>
    <w:p w:rsidR="00030556" w:rsidRPr="00030556" w:rsidRDefault="00030556" w:rsidP="00030556">
      <w:pPr>
        <w:shd w:val="clear" w:color="auto" w:fill="FFFFFF"/>
        <w:spacing w:after="100" w:afterAutospacing="1" w:line="240" w:lineRule="auto"/>
        <w:outlineLvl w:val="2"/>
        <w:rPr>
          <w:rFonts w:ascii="Segoe UI" w:eastAsia="Times New Roman" w:hAnsi="Segoe UI" w:cs="Segoe UI"/>
          <w:color w:val="212529"/>
          <w:sz w:val="27"/>
          <w:szCs w:val="27"/>
          <w:lang w:eastAsia="ru-RU"/>
        </w:rPr>
      </w:pPr>
      <w:r w:rsidRPr="00030556">
        <w:rPr>
          <w:rFonts w:ascii="Segoe UI" w:eastAsia="Times New Roman" w:hAnsi="Segoe UI" w:cs="Segoe UI"/>
          <w:color w:val="212529"/>
          <w:sz w:val="27"/>
          <w:szCs w:val="27"/>
          <w:lang w:eastAsia="ru-RU"/>
        </w:rPr>
        <w:t>Стандарт</w:t>
      </w:r>
      <w:r w:rsidRPr="00030556">
        <w:rPr>
          <w:rFonts w:ascii="Segoe UI" w:eastAsia="Times New Roman" w:hAnsi="Segoe UI" w:cs="Segoe UI"/>
          <w:color w:val="212529"/>
          <w:sz w:val="27"/>
          <w:szCs w:val="27"/>
          <w:lang w:eastAsia="ru-RU"/>
        </w:rPr>
        <w:br/>
        <w:t>общественного капитала бизнеса</w:t>
      </w:r>
    </w:p>
    <w:p w:rsidR="00030556" w:rsidRPr="00030556" w:rsidRDefault="00030556" w:rsidP="00030556">
      <w:pPr>
        <w:shd w:val="clear" w:color="auto" w:fill="FFFFFF"/>
        <w:spacing w:after="100" w:afterAutospacing="1" w:line="240" w:lineRule="auto"/>
        <w:outlineLvl w:val="2"/>
        <w:rPr>
          <w:rFonts w:ascii="Segoe UI" w:eastAsia="Times New Roman" w:hAnsi="Segoe UI" w:cs="Segoe UI"/>
          <w:color w:val="212529"/>
          <w:sz w:val="27"/>
          <w:szCs w:val="27"/>
          <w:lang w:eastAsia="ru-RU"/>
        </w:rPr>
      </w:pPr>
      <w:r w:rsidRPr="00030556">
        <w:rPr>
          <w:rFonts w:ascii="Segoe UI" w:eastAsia="Times New Roman" w:hAnsi="Segoe UI" w:cs="Segoe UI"/>
          <w:color w:val="212529"/>
          <w:sz w:val="27"/>
          <w:szCs w:val="27"/>
          <w:lang w:eastAsia="ru-RU"/>
        </w:rPr>
        <w:lastRenderedPageBreak/>
        <w:t>I. Общие положения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1. Настоящий документ определяет основные подходы к составлению и раскрытию публичной нефинансовой отчетности в сфере общественного капитала бизнеса, представляющей собой систематизированную информацию о деятельности организации, в том числе экологического, социального, управленческого и экономического характера (далее - отчетность), и определяет порядок верификации соответствия деятельности организации целевым значениям показателей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Нормы настоящего документа применяются с учетом положений Стратегии социально-экономического развития Российской Федерации с низким уровнем выбросов парниковых газов до 2050 года, утвержденной распоряжением Правительства Российской Федерации от 29 октября 2021 г. № 3052-р, и Концепции развития публичной нефинансовой отчетности, утвержденной распоряжением Правительства Российской Федерации от 5 мая 2017 г. № 876-р.</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2. Понятия, применяемые в настоящем документе, означают следующее:</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"координатор" - юридическое лицо, организующее и координирующее функционирование системы верификации соответствия деятельности организации целевым значениям показателей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"методология" - методика и порядок определения целевых значений показателей общественного капитала бизнеса и расчета соответствующих значений показателей общественного капитала бизнеса, а также определения перечней показателей организаций, не являющихся субъектами малого и среднего предпринимательства (базовый и полный перечень показателей), и организаций, являющихся субъектами малого и среднего предпринимательства (базовый и полный перечень показателей);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"общественный капитал бизнеса" - вклад организации в повышение благосостояния общества, уровня социально-экономического развития Российской Федерации, включая вклад организации в стратегическое развитие Российской Федерации, поддержку социальных программ, реализацию проектов, связанных с охраной окружающей среды, в обеспечение целей ответственного ведения бизнеса, а также участие в достижении национальных целей развития Российской Федерации на период до 2030 года и на перспективу до 2036 года, определенных Указом Президента Российской Федерации от 7 мая 2024 г. № 309 "О национальных целях развития Российской Федерации на период до 2030 года и на перспективу до 2036 года" (далее - национальные цели развития);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"ответственное ведение бизнеса" - деятельность организации, ориентированная на внесение вклада в экологический, социальный и экономический прогресс и основанная в том числе на соблюдении прав человека и законодательства Российской Федерации;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 xml:space="preserve">"перечень показателей" - показатели отчетности, которые содержат результаты деятельности организации, отражающие прогресс в достижении целевых показателей общественного капитала бизнеса, которые организация установила самостоятельно и (или) </w:t>
      </w:r>
      <w:r w:rsidRPr="00030556">
        <w:rPr>
          <w:rFonts w:ascii="Segoe UI" w:eastAsia="Times New Roman" w:hAnsi="Segoe UI" w:cs="Segoe UI"/>
          <w:color w:val="212529"/>
          <w:sz w:val="24"/>
          <w:szCs w:val="24"/>
          <w:lang w:eastAsia="ru-RU"/>
        </w:rPr>
        <w:lastRenderedPageBreak/>
        <w:t>которых она обязана достигать в соответствии с законодательством Российской Федерации;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"система верификации соответствия деятельности организации целевым значениям показателей общественного капитала бизнеса" - единая система оценки деятельности организации, представляющая собой комплекс организационных и методологических мер, позволяющих определить общественный капитал бизнеса организации путем оценки соответствия ее деятельности целевым значениям показателей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"совет по методологии" - орган, созданный координатором, в состав которого включаются представители деловых объединений, акционерных обществ, перечни которых утверждены распоряжением Правительства Российской Федерации от 23 января 2003 г. № 91-р, институтов развития, государственных корпораций, государственной компании, публично-правовых компаний, федеральных органов исполнительной власти, исполнительных органов субъектов Российской Федерации и иных заинтересованных организаций.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3. Настоящий документ направлен на повышение качества составления отчетности, в том числе с учетом его влияния на положительную динамику показателей устойчивого развития, принятых в рамках резолюции № 70/1 Генеральной Ассамблеи Организации Объединенных Наций "Преобразование нашего мира: повестка дня в области устойчивого развития на период до 2030 года" от 25 сентября 2015 г., и не устанавливает обязанности организации по составлению и раскрытию отчетности.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4. В отчетность, раскрываемую организацией в добровольном порядке (в том числе в наименование отчетности), может включаться указание на то, что такая отчетность составлена в соответствии с настоящим документом (при условии соблюдения при ее составлении положений настоящего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5. Отчетность не является бухгалтерской (финансовой) отчетностью, при этом информация, включаемая в отчетность, не должна противоречить информации, раскрываемой в бухгалтерской (финансовой) отчетности, консолидированной финансовой отчетности, статистической, налоговой отчетности (в случае обязанности организации по их составлению).</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Организацией, составляющей консолидированную финансовую отчетность в соответствии с Федеральным законом "О консолидированной финансовой отчетности", может составляться отчетность на консолидированной основе с включением в нее данных по группе, определяемой в соответствии с Федеральным законом "О консолидированной финансовой отчетности".</w:t>
      </w:r>
    </w:p>
    <w:p w:rsidR="00030556" w:rsidRPr="00030556" w:rsidRDefault="00030556" w:rsidP="00030556">
      <w:pPr>
        <w:shd w:val="clear" w:color="auto" w:fill="FFFFFF"/>
        <w:spacing w:after="100" w:afterAutospacing="1" w:line="240" w:lineRule="auto"/>
        <w:outlineLvl w:val="2"/>
        <w:rPr>
          <w:rFonts w:ascii="Segoe UI" w:eastAsia="Times New Roman" w:hAnsi="Segoe UI" w:cs="Segoe UI"/>
          <w:color w:val="212529"/>
          <w:sz w:val="27"/>
          <w:szCs w:val="27"/>
          <w:lang w:eastAsia="ru-RU"/>
        </w:rPr>
      </w:pPr>
      <w:r w:rsidRPr="00030556">
        <w:rPr>
          <w:rFonts w:ascii="Segoe UI" w:eastAsia="Times New Roman" w:hAnsi="Segoe UI" w:cs="Segoe UI"/>
          <w:color w:val="212529"/>
          <w:sz w:val="27"/>
          <w:szCs w:val="27"/>
          <w:lang w:eastAsia="ru-RU"/>
        </w:rPr>
        <w:t>II. Отчетность</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 xml:space="preserve">6. Отчетность составляется в соответствии с принципом достоверности информации о деятельности организации и не должна противоречить информации, раскрываемой в </w:t>
      </w:r>
      <w:r w:rsidRPr="00030556">
        <w:rPr>
          <w:rFonts w:ascii="Segoe UI" w:eastAsia="Times New Roman" w:hAnsi="Segoe UI" w:cs="Segoe UI"/>
          <w:color w:val="212529"/>
          <w:sz w:val="24"/>
          <w:szCs w:val="24"/>
          <w:lang w:eastAsia="ru-RU"/>
        </w:rPr>
        <w:lastRenderedPageBreak/>
        <w:t>иных официальных отчетных документах организации, а также в соответствии с принципами существенности, своевременности, полноты, полезности, рациональности, ясности. Отчетность не содержит информацию ограниченного доступа.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7. В отчетности отражаются достоверные данные о деятельности организации в сфере общественного капитала бизнеса, в том числе о воздействии, рисках и возможностях в сфере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8. Организация включает в отчетность существенную информацию о воздействии, рисках и возможностях в сфере общественного капитала бизнеса, которые существенно повлияют на ее деятельность и взаимодействие с заинтересованными лицами.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Информация считается существенной, если ее раскрытие, отсутствие или искажение могут повлиять на характер и непрерывность деятельности организации, финансовую устойчивость, размер чистых активов, а также на решения, которые принимают заинтересованные лица. Под заинтересованными лицами понимаются органы государственной власти, органы местного самоуправления, юридические и физические лица (в том числе их объединения), которые могут быть заинтересованы в результатах деятельности организации и создании ее стоимости, и (или) испытывают на себе влияние деятельности организации, и (или) могут оказать влияние на деятельность, товары, работы и (или) услуги организации, а также на решения или действия, которые могут повлиять на изменение размера ее чистых активов и достижение ее целей.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9. Принцип своевременности информации, раскрываемой в отчетности, предполагает актуальность доступной для заинтересованных лиц информации в целях ее использования для принятия обоснованных решений.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 xml:space="preserve">10. Полнота информации, раскрываемой в отчетности, подразумевает ее достаточность для отражения воздействия организации на экономику, окружающую среду и </w:t>
      </w:r>
      <w:proofErr w:type="gramStart"/>
      <w:r w:rsidRPr="00030556">
        <w:rPr>
          <w:rFonts w:ascii="Segoe UI" w:eastAsia="Times New Roman" w:hAnsi="Segoe UI" w:cs="Segoe UI"/>
          <w:color w:val="212529"/>
          <w:sz w:val="24"/>
          <w:szCs w:val="24"/>
          <w:lang w:eastAsia="ru-RU"/>
        </w:rPr>
        <w:t>общество</w:t>
      </w:r>
      <w:proofErr w:type="gramEnd"/>
      <w:r w:rsidRPr="00030556">
        <w:rPr>
          <w:rFonts w:ascii="Segoe UI" w:eastAsia="Times New Roman" w:hAnsi="Segoe UI" w:cs="Segoe UI"/>
          <w:color w:val="212529"/>
          <w:sz w:val="24"/>
          <w:szCs w:val="24"/>
          <w:lang w:eastAsia="ru-RU"/>
        </w:rPr>
        <w:t xml:space="preserve"> и оценки результата деятельности организации за отчетный период заинтересованными лицами.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11. Полезность информации, раскрываемой в отчетности, подразумевает в том числе ее актуальность и точность.</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12. Рациональность информации, раскрываемой в отчетности, предполагает использование организацией методов и подходов, нацеленных на оптимизацию и повышение эффективности процессов составления и раскрытия отчетности с учетом особенностей и масштабов ее деятельности.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13. Ясность информации, раскрываемой в отчетности, предполагает отражение организацией такой информации в отчетности в форме, понятной и доступной для заинтересованных лиц.</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 xml:space="preserve">14. В содержании отчетности формируется объективная картина результатов деятельности отчитывающейся организации. При подготовке отчетности не допускается использование </w:t>
      </w:r>
      <w:r w:rsidRPr="00030556">
        <w:rPr>
          <w:rFonts w:ascii="Segoe UI" w:eastAsia="Times New Roman" w:hAnsi="Segoe UI" w:cs="Segoe UI"/>
          <w:color w:val="212529"/>
          <w:sz w:val="24"/>
          <w:szCs w:val="24"/>
          <w:lang w:eastAsia="ru-RU"/>
        </w:rPr>
        <w:lastRenderedPageBreak/>
        <w:t>избирательного подхода, пропуска существенной информации, которая могла бы оказать влияние на решения или суждения заинтересованных лиц.</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15. Показатели отчетности должны быть представлены таким образом, чтобы у заинтересованных лиц была возможность сравнить информацию об экологических, социальных и экономических результатах деятельности организации с результатами ее деятельности за предыдущие периоды, ее целями, а также с результатами деятельности других организаций.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 xml:space="preserve">16. В случае </w:t>
      </w:r>
      <w:proofErr w:type="spellStart"/>
      <w:r w:rsidRPr="00030556">
        <w:rPr>
          <w:rFonts w:ascii="Segoe UI" w:eastAsia="Times New Roman" w:hAnsi="Segoe UI" w:cs="Segoe UI"/>
          <w:color w:val="212529"/>
          <w:sz w:val="24"/>
          <w:szCs w:val="24"/>
          <w:lang w:eastAsia="ru-RU"/>
        </w:rPr>
        <w:t>невключения</w:t>
      </w:r>
      <w:proofErr w:type="spellEnd"/>
      <w:r w:rsidRPr="00030556">
        <w:rPr>
          <w:rFonts w:ascii="Segoe UI" w:eastAsia="Times New Roman" w:hAnsi="Segoe UI" w:cs="Segoe UI"/>
          <w:color w:val="212529"/>
          <w:sz w:val="24"/>
          <w:szCs w:val="24"/>
          <w:lang w:eastAsia="ru-RU"/>
        </w:rPr>
        <w:t xml:space="preserve"> в отчетность какой-либо информации в соответствии с настоящим документом организацией указывается одна из следующих причин:</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неприменимость к организации;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установленные законодательством Российской Федерации запреты и (или) ограничения раскрытия или представления информации;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установленные законодательством Российской Федерации особенности раскрытия или представления информации;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ограничения раскрытия информации, установленные организацией;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информация отсутствует.</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17. Исправление допущенных существенных ошибок в опубликованной отчетности предыдущего отчетного периода (периодов) осуществляется путем опубликования новой редакции отчетности с указанием новой или измененной информации. При этом в новой редакции отчетности указывается, что отчетность является исправленной и представляет собой окончательную редакцию. В текущем отчетном периоде организацией также раскрывается информация об исправлении допущенных ошибок в опубликованной отчетности предыдущего отчетного периода (периодов).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К таким ошибкам относятся: математические ошибки в расчетах, ошибки в применении определений показателей или целевых показателей, упущения или неверное толкование фактов, намеренное сокрытие или искажение фактов. Ошибка признается существенной, если она в отдельности или в совокупности с другими ошибками за один отчетный период может оказать влияние на решения или суждения заинтересованных лиц.</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При обнаружении допущенных существенных ошибок в опубликованной отчетности пересчет показателей осуществляется организацией начиная с даты, когда такая ошибка была допущена.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18. Отчетность включает следующую информацию:</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а) описание организации и ее деятельности;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б) система управления организации в сфере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lastRenderedPageBreak/>
        <w:t>в) стратегия в сфере общественного капитала бизнеса (может быть самостоятельным документом, частью общей стратегии организации и (или) других внутренних документов);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г) управление рисками в части процессов, используемых организацией для выявления, оценки, определения приоритетов и мониторинга воздействия, рисков и возможностей в сфере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д) показатели отчетности, содержащиеся в перечне показателей стандарта общественного капитала бизнеса. Перечень показателей стандарта общественного капитала бизнеса и описание их расчета приведены в приложении. В целях отражения информации об участии организации в достижении национальных целей развития организация также может включать в отчетность показатели Единого плана по достижению национальных целей развития Российской Федерации до 2030 года и на перспективу до 2036 года.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19. Организация раскрывает в отчетности информацию о системе управления, средствах контроля и процедурах, используемых для мониторинга и управления воздействием, рисками и возможностями в сфере общественного капитала бизнеса, в том числе:</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а) о периоде, за который отчетность формируется и раскрывается;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б) о факте включения лица, осуществляющего функции единоличного исполнительного органа организации, в состав коллегиального органа управления организации;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 об органе (органах) или физическом лице (физических лицах), ответственных за мониторинг воздействия, рисков и возможностей в сфере общественного капитала бизнеса (при их наличии), порядке учета воздействия, рисков и возможностей в сфере общественного капитала бизнеса при осуществлении контроля за реализацией стратегии организации в сфере общественного капитала бизнеса, ее решениями в отношении крупных сделок и ее процессами управления воздействием, рисками и возможностями, порядке осуществления контроля за установлением целевых показателей в сфере общественного капитала бизнеса и порядке мониторинга достижения данных целевых показателей;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г) о роли органов управления организации в процессах управления, применения средств контроля и процедур, используемых для мониторинга и управления воздействием, рисками и возможностями в сфере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 xml:space="preserve">д) о соответствии организации требованиям национального стандарта Российской Федерации "Системы экологического менеджмента. Требования и руководство по применению" ГОСТ Р ИСО 14001-2016, введенного в действие приказом Федерального агентства по техническому регулированию и метрологии от 29 апреля 2016 г. № 285-ст, национального стандарта Российской Федерации "Системы менеджмента качества. Требования" ГОСТ Р ИСО 9001-2015, введенного в действие приказом Федерального агентства по техническому регулированию и метрологии от 28 сентября 2015 г. № 1391-ст, национального стандарта Российской Федерации "Системы энергетического менеджмента. Требования и руководство по применению" ГОСТ Р ИСО 50001-2023, введенного в </w:t>
      </w:r>
      <w:r w:rsidRPr="00030556">
        <w:rPr>
          <w:rFonts w:ascii="Segoe UI" w:eastAsia="Times New Roman" w:hAnsi="Segoe UI" w:cs="Segoe UI"/>
          <w:color w:val="212529"/>
          <w:sz w:val="24"/>
          <w:szCs w:val="24"/>
          <w:lang w:eastAsia="ru-RU"/>
        </w:rPr>
        <w:lastRenderedPageBreak/>
        <w:t>действие приказом Федерального агентства по техническому регулированию и метрологии от 16 февраля 2023 г. № 100-ст, национального стандарта Российской Федерации "Системы менеджмента безопасности труда и охраны здоровья. Требования и руководство по применению" ГОСТ Р ИСО 45001-2020, введенного в действие приказом Федерального агентства по техническому регулированию и метрологии от 28 августа 2020 г. № 581-ст. При наличии у организации отраслевых особенностей возможно также представление информации о соответствии требованиям иных национальных стандартов Российской Федерации;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е) о мерах, направленных на противодействие коррупции, в том числе о наличии у организации антикоррупционной политики, о корпоративных программах обучения в целях противодействия коррупции.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20. Организация раскрывает в отчетности информацию о принятой стратегии в сфере общественного капитала бизнеса, в том числе с учетом осуществления текущей деятельности, а также о подходах к управлению воздействием, рисками и возможностями в сфере общественного капитала бизнеса, в том числе:</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а) о стратегических целях (количественных и качественных), которые стоят перед организацией в сфере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б) об инициативах, которые организация планирует реализовывать для достижения целей, указанных в </w:t>
      </w:r>
      <w:hyperlink r:id="rId7" w:anchor="10201" w:history="1">
        <w:r w:rsidRPr="00030556">
          <w:rPr>
            <w:rFonts w:ascii="Segoe UI" w:eastAsia="Times New Roman" w:hAnsi="Segoe UI" w:cs="Segoe UI"/>
            <w:color w:val="6C757D"/>
            <w:sz w:val="24"/>
            <w:szCs w:val="24"/>
            <w:u w:val="single"/>
            <w:lang w:eastAsia="ru-RU"/>
          </w:rPr>
          <w:t>подпункте "а"</w:t>
        </w:r>
      </w:hyperlink>
      <w:r w:rsidRPr="00030556">
        <w:rPr>
          <w:rFonts w:ascii="Segoe UI" w:eastAsia="Times New Roman" w:hAnsi="Segoe UI" w:cs="Segoe UI"/>
          <w:color w:val="212529"/>
          <w:sz w:val="24"/>
          <w:szCs w:val="24"/>
          <w:lang w:eastAsia="ru-RU"/>
        </w:rPr>
        <w:t> настоящего пункта;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 о связи показателей эффективности ее деятельности, на основании которых определяется размер вознаграждения ее руководящего состава, с достижением целей, указанных в </w:t>
      </w:r>
      <w:hyperlink r:id="rId8" w:anchor="10201" w:history="1">
        <w:r w:rsidRPr="00030556">
          <w:rPr>
            <w:rFonts w:ascii="Segoe UI" w:eastAsia="Times New Roman" w:hAnsi="Segoe UI" w:cs="Segoe UI"/>
            <w:color w:val="6C757D"/>
            <w:sz w:val="24"/>
            <w:szCs w:val="24"/>
            <w:u w:val="single"/>
            <w:lang w:eastAsia="ru-RU"/>
          </w:rPr>
          <w:t>подпункте "а"</w:t>
        </w:r>
      </w:hyperlink>
      <w:r w:rsidRPr="00030556">
        <w:rPr>
          <w:rFonts w:ascii="Segoe UI" w:eastAsia="Times New Roman" w:hAnsi="Segoe UI" w:cs="Segoe UI"/>
          <w:color w:val="212529"/>
          <w:sz w:val="24"/>
          <w:szCs w:val="24"/>
          <w:lang w:eastAsia="ru-RU"/>
        </w:rPr>
        <w:t> настоящего пункта;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г) о заинтересованных лицах, включая ключевые для таких лиц интересы, ожидания и опасения, связанные с ее деятельностью, способах взаимодействия с заинтересованными лицами, включая способы получения и предоставления обратной связи, а также о ключевых показателях взаимодействия, проведенных мероприятиях, их участниках, затронутых темах, запросах заинтересованных лиц и иных результатах такого взаимодействия, в том числе в рамках подготовки отчетности;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д) о воздействии, рисках и возможностях в сфере общественного капитала бизнеса, которые могут повлиять на деятельность организации и ее взаимодействие с заинтересованными лицами (описание таких воздействий, рисков и возможностей в сфере общественного капитала бизнеса и их ожидаемое влияние на бизнес-модель организации, периоды (краткосрочные, среднесрочные или долгосрочные), в течение которых могут ожидаться последствия каждого из этих воздействий, рисков и возможностей);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е) о влиянии воздействия, рисков и возможностей в сфере общественного капитала бизнеса на ее стратегию в сфере общественного капитала бизнеса, бизнес-модель и процесс принятия решений.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lastRenderedPageBreak/>
        <w:t>21. Организация раскрывает в отчетности информацию о способах выявления, оценки, определения приоритетов и мониторинга воздействия, рисков и возможностей в сфере общественного капитала бизнеса, в том числе о процессах и принимаемых руководствах, используемых организацией для выявления, оценки, определения приоритетов и мониторинга воздействия, рисков и возможностей в сфере общественного капитала бизнеса, а также смягчения и (или) предотвращения таких рисков и воздействия и использования таких возможностей.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22. Организация раскрывает в отчетности информацию о реализованных мероприятиях и их результатах (количество проведенных мероприятий, количество людей, охваченных такими мероприятиями, информационное освещение результатов (проектов) организации, в том числе в средствах массовой информации, в информационно-телекоммуникационной сети "Интернет" (далее - сеть "Интернет").</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23. В случае если отчетность составляется организацией, входящей в группу компаний, на консолидированной основе и на раскрываемые показатели имеет влияние приобретение или реализация активов, составляющих финансовые вложения в ценные бумаги или уставные (складочные) капиталы других организаций, в отчетность включаются необходимые пояснения.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24. Организация включает в отчетность информацию о воздействиях, рисках и возможностях, которые могут повлиять на перспективы ее деятельности, в том числе:</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а) показатели согласно </w:t>
      </w:r>
      <w:hyperlink r:id="rId9" w:anchor="11000" w:history="1">
        <w:r w:rsidRPr="00030556">
          <w:rPr>
            <w:rFonts w:ascii="Segoe UI" w:eastAsia="Times New Roman" w:hAnsi="Segoe UI" w:cs="Segoe UI"/>
            <w:color w:val="6C757D"/>
            <w:sz w:val="24"/>
            <w:szCs w:val="24"/>
            <w:u w:val="single"/>
            <w:lang w:eastAsia="ru-RU"/>
          </w:rPr>
          <w:t>перечню</w:t>
        </w:r>
      </w:hyperlink>
      <w:r w:rsidRPr="00030556">
        <w:rPr>
          <w:rFonts w:ascii="Segoe UI" w:eastAsia="Times New Roman" w:hAnsi="Segoe UI" w:cs="Segoe UI"/>
          <w:color w:val="212529"/>
          <w:sz w:val="24"/>
          <w:szCs w:val="24"/>
          <w:lang w:eastAsia="ru-RU"/>
        </w:rPr>
        <w:t> показателей;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б) иные показатели, в том числе связанные с отраслевой спецификой деятельности, которые организация использует для измерения и мониторинга в сфере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 предполагаемое влияние воздействия, рисков и возможностей в сфере общественного капитала бизнеса на финансовое положение организации и финансовые результаты за отчетный период, а также прогнозируемые финансовые результаты в краткосрочной, среднесрочной и долгосрочной перспективе, если организацией осуществляется соответствующая оценка такого влияния.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25. Организация вправе не представлять количественную информацию о текущих или прогнозируемых финансовых результатах воздействия, рисков или возможностей в сфере общественного капитала бизнеса, если такие последствия не могут быть идентифицированы отдельно или степень неопределенности измерений, связанных с оценкой результатов, настолько высока, что итоговая количественная информация не будет полезной.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26. В перечне показателей стандарта общественного капитала бизнеса, представленных в </w:t>
      </w:r>
      <w:hyperlink r:id="rId10" w:anchor="11000" w:history="1">
        <w:r w:rsidRPr="00030556">
          <w:rPr>
            <w:rFonts w:ascii="Segoe UI" w:eastAsia="Times New Roman" w:hAnsi="Segoe UI" w:cs="Segoe UI"/>
            <w:color w:val="6C757D"/>
            <w:sz w:val="24"/>
            <w:szCs w:val="24"/>
            <w:u w:val="single"/>
            <w:lang w:eastAsia="ru-RU"/>
          </w:rPr>
          <w:t>приложении</w:t>
        </w:r>
      </w:hyperlink>
      <w:r w:rsidRPr="00030556">
        <w:rPr>
          <w:rFonts w:ascii="Segoe UI" w:eastAsia="Times New Roman" w:hAnsi="Segoe UI" w:cs="Segoe UI"/>
          <w:color w:val="212529"/>
          <w:sz w:val="24"/>
          <w:szCs w:val="24"/>
          <w:lang w:eastAsia="ru-RU"/>
        </w:rPr>
        <w:t> к настоящему документу, выделяются экологические, социальные, управленческие и экономические показатели (которые имеются у любой деятельности).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lastRenderedPageBreak/>
        <w:t>27. В случае если организация указывает в отчетности показатель, не предусмотренный перечнем показателей, то указывается также:</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является ли он абсолютным показателем, показателем, выраженным по отношению к другому показателю, или качественным показателем;</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метод, используемый для расчета показателя, и данные для расчета, включая ограничения используемого метода и существенные допущения.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28. Организация включает в отчетность информацию о целевых показателях, которые она установила для мониторинга прогресса в достижении своих стратегических целей, и любых целевых показателях, которых она обязана достичь в соответствии с требованиями законодательства Российской Федерации.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29. Для каждой цели организация включает в отчетность:</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а) показатель, используемый для установления целевого значения и мониторинга динамики достижения целевого показателя;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б) количественную или качественную цель в сфере общественного капитала бизнеса, которую организация установила или должна выполнить;</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 период, в течение которого применяется целевой показатель;</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г) период, начиная с которого оценивается прогресс в достижении стратегических целей;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д) любые контрольные точки и промежуточные цели;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е) результаты по каждому целевому показателю и анализ тенденций или изменений результатов деятельности организации;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ж) любые изменения целевого показателя и пояснения к этим изменениям.</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30. В отчетность включается информация о ключевых результатах деятельности организации, реализуемых ею проектах в сфере общественного капитала бизнеса и при необходимости определенных организацией самостоятельно, информация о мероприятиях, направленных на информационное освещение таких результатов (проектов), в том числе в средствах массовой информации, в сети "Интернет".</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Результаты деятельности организации отражают количественные показатели за отчетный период, в том числе достигнутые результаты в сфере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31. Раскрываемые в отчетности показатели отражаются последовательно за период не менее 2 лет, предшествующих периоду составления отчетности. Если отчетность не составлялась за весь указанный период, то раскрываемые показатели отражаются последовательно в динамике за те периоды, за которые ранее составлялась отчетность.</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lastRenderedPageBreak/>
        <w:t>32. В наименование отчетности либо раздела иных отчетных документов организации, если отчетность является частью иных отчетных документов, включаются слова "отчетность в сфере общественного капитала бизнеса" или производные от этих слов.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33. Отчетность подписывается руководителем организации и (или) иным уполномоченным на это лицом.</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34. Отчетность составляется за один календарный год. Отчетность может содержать данные за два предыдущих отчетных периода. Отчетным периодом (отчетным годом) для отчетности может являться календарный год с 1 января по 31 декабря.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Если учредительными документами организации установлены иные даты начала и окончания отчетного года для годовой консолидированной финансовой отчетности, отчетным периодом для отчетности является указанный отчетный год, отличный от календарного года.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35. Первым отчетным годом для отчетности вновь создаваемых организаций может устанавливаться период с даты государственной регистрации указанных организаций по 31 декабря того же календарного года.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36. В отношении отчетности может проводиться независимая внешняя оценка.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37. Независимая внешняя оценка отчетности проводится в форме профессионального подтверждения (заверения) отчетности и (или) в форме общественного заверения отчетности.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38. В случае проведения профессионального подтверждения (заверения) отчетности такое подтверждение (заверение) проводится аудиторской организацией, сведения о которой внесены в реестр аудиторских организаций, оказывающих аудиторские услуги общественно значимым организациям в соответствии со стандартами аудиторской деятельности, применяемыми на территории Российской Федерации в соответствии с Федеральным законом "Об аудиторской деятельности" (далее - стандарты аудиторской деятельности).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39. При проведении профессионального подтверждения (заверения) отчетности аудиторская организация проводит процедуры в соответствии со стандартами аудиторской деятельности с целью получения достаточных доказательств для выражения мнения (формирования вывода) об отчетности.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40. Общественное заверение отчетности может проводиться на регулярной основе общероссийской общественной организацией, общероссийской ассоциацией (союзом), раскрывающими методологию общественного заверения отчетности, разработанную соответственно такими организацией, ассоциацией (союзом). Организации, проводящие общественное заверение отчетности, формируют и раскрывают на своих официальных сайтах систематизированные данные о документах, подготовленных по итогам такого заверения, и соответствующих отчетах.</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lastRenderedPageBreak/>
        <w:t>41. Документ, составленный по результатам независимой внешней оценки отчетности в форме профессионального подтверждения (заверения) отчетности и (или) в форме общественного заверения отчетности (в случае составления соответствующего документа), раскрывается вместе с такой отчетностью в соответствии с </w:t>
      </w:r>
      <w:hyperlink r:id="rId11" w:anchor="1042" w:history="1">
        <w:r w:rsidRPr="00030556">
          <w:rPr>
            <w:rFonts w:ascii="Segoe UI" w:eastAsia="Times New Roman" w:hAnsi="Segoe UI" w:cs="Segoe UI"/>
            <w:color w:val="6C757D"/>
            <w:sz w:val="24"/>
            <w:szCs w:val="24"/>
            <w:u w:val="single"/>
            <w:lang w:eastAsia="ru-RU"/>
          </w:rPr>
          <w:t>пунктами 42 - 47</w:t>
        </w:r>
      </w:hyperlink>
      <w:r w:rsidRPr="00030556">
        <w:rPr>
          <w:rFonts w:ascii="Segoe UI" w:eastAsia="Times New Roman" w:hAnsi="Segoe UI" w:cs="Segoe UI"/>
          <w:color w:val="212529"/>
          <w:sz w:val="24"/>
          <w:szCs w:val="24"/>
          <w:lang w:eastAsia="ru-RU"/>
        </w:rPr>
        <w:t> настоящего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42. Отчетность раскрывается путем размещения (опубликования) на официальном сайте организации в сети "Интернет" в виде отдельного документа или, если организация в соответствии с законодательством Российской Федерации обязана раскрывать годовой отчет и (или) отчет эмитента эмиссионных ценных бумаг, по усмотрению такой организации в составе указанных отчетов или в составе иного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43. Раскрытие отчетности осуществляется не позднее 180 дней со дня утверждения годовой бухгалтерской (финансовой) отчетности.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44. Отчетность представляется на русском языке. По усмотрению организации отчетность может дублироваться на ином языке.</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45. В случае если в отчетность включаются сведения и показатели, имеющие денежное измерение, такие сведения и показатели следует отражать в валюте Российской Федерации.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46. В случае если в отношении организации указами Президента Российской Федерации или актами Правительства Российской Федерации установлены особенности раскрытия и (или) представления информации, доступ к отчетности за предыдущие периоды предоставляется по решению такой организации.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47. Организации необходимо обеспечить доступ для любого заинтересованного лица к раскрытой отчетности в течение не менее чем 3 лет с даты ее размещения (опубликования).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48. Взаимосвязь показателей Единого плана по достижению национальных целей развития Российской Федерации до 2030 года и на перспективу до 2036 года и (или) их компонентов с показателями стандарта общественного капитала бизнеса, установленными </w:t>
      </w:r>
      <w:hyperlink r:id="rId12" w:anchor="11000" w:history="1">
        <w:r w:rsidRPr="00030556">
          <w:rPr>
            <w:rFonts w:ascii="Segoe UI" w:eastAsia="Times New Roman" w:hAnsi="Segoe UI" w:cs="Segoe UI"/>
            <w:color w:val="6C757D"/>
            <w:sz w:val="24"/>
            <w:szCs w:val="24"/>
            <w:u w:val="single"/>
            <w:lang w:eastAsia="ru-RU"/>
          </w:rPr>
          <w:t>приложением</w:t>
        </w:r>
      </w:hyperlink>
      <w:r w:rsidRPr="00030556">
        <w:rPr>
          <w:rFonts w:ascii="Segoe UI" w:eastAsia="Times New Roman" w:hAnsi="Segoe UI" w:cs="Segoe UI"/>
          <w:color w:val="212529"/>
          <w:sz w:val="24"/>
          <w:szCs w:val="24"/>
          <w:lang w:eastAsia="ru-RU"/>
        </w:rPr>
        <w:t> к настоящему документу, определяется методологией.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Координатор обеспечивает консолидацию и направление в проектный офис Правительства Российской Федерации сведений об участии организации в достижении национальных целей развития в порядке (включающем в себя в том числе определение содержания, периодичности, формата и способа направления), согласованном с проектным офисом Правительства Российской Федерации.</w:t>
      </w:r>
    </w:p>
    <w:p w:rsidR="00030556" w:rsidRPr="00030556" w:rsidRDefault="00030556" w:rsidP="00030556">
      <w:pPr>
        <w:shd w:val="clear" w:color="auto" w:fill="FFFFFF"/>
        <w:spacing w:after="100" w:afterAutospacing="1" w:line="240" w:lineRule="auto"/>
        <w:outlineLvl w:val="2"/>
        <w:rPr>
          <w:rFonts w:ascii="Segoe UI" w:eastAsia="Times New Roman" w:hAnsi="Segoe UI" w:cs="Segoe UI"/>
          <w:color w:val="212529"/>
          <w:sz w:val="27"/>
          <w:szCs w:val="27"/>
          <w:lang w:eastAsia="ru-RU"/>
        </w:rPr>
      </w:pPr>
      <w:r w:rsidRPr="00030556">
        <w:rPr>
          <w:rFonts w:ascii="Segoe UI" w:eastAsia="Times New Roman" w:hAnsi="Segoe UI" w:cs="Segoe UI"/>
          <w:color w:val="212529"/>
          <w:sz w:val="27"/>
          <w:szCs w:val="27"/>
          <w:lang w:eastAsia="ru-RU"/>
        </w:rPr>
        <w:t>III. Система верификации соответствия деятельности организации целевым значениям показателей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lastRenderedPageBreak/>
        <w:t>49. Система верификации соответствия деятельности организации целевым значениям показателей общественного капитала бизнеса обеспечивает по инициативе заинтересованной в этом организации (далее - инициатор) определение ее общественного капитала бизнеса путем оценки соответствия деятельности инициатора целевым значениям показателей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50. Заявку на прохождение оценки соответствия деятельности инициатора целевым значениям показателей общественного капитала бизнеса (далее - заявка инициатора) имеют право подать организации, а также группы компаний, которым при представлении отчетности рекомендуется предварительно проводить независимую внешнюю оценку отчетности по формам, указанным в </w:t>
      </w:r>
      <w:hyperlink r:id="rId13" w:anchor="1037" w:history="1">
        <w:r w:rsidRPr="00030556">
          <w:rPr>
            <w:rFonts w:ascii="Segoe UI" w:eastAsia="Times New Roman" w:hAnsi="Segoe UI" w:cs="Segoe UI"/>
            <w:color w:val="6C757D"/>
            <w:sz w:val="24"/>
            <w:szCs w:val="24"/>
            <w:u w:val="single"/>
            <w:lang w:eastAsia="ru-RU"/>
          </w:rPr>
          <w:t>пункте 37</w:t>
        </w:r>
      </w:hyperlink>
      <w:r w:rsidRPr="00030556">
        <w:rPr>
          <w:rFonts w:ascii="Segoe UI" w:eastAsia="Times New Roman" w:hAnsi="Segoe UI" w:cs="Segoe UI"/>
          <w:color w:val="212529"/>
          <w:sz w:val="24"/>
          <w:szCs w:val="24"/>
          <w:lang w:eastAsia="ru-RU"/>
        </w:rPr>
        <w:t> настоящего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Инициаторы, которые не включают отдельные показатели общественного капитала бизнеса в отчетность в соответствии с </w:t>
      </w:r>
      <w:hyperlink r:id="rId14" w:anchor="10163" w:history="1">
        <w:r w:rsidRPr="00030556">
          <w:rPr>
            <w:rFonts w:ascii="Segoe UI" w:eastAsia="Times New Roman" w:hAnsi="Segoe UI" w:cs="Segoe UI"/>
            <w:color w:val="6C757D"/>
            <w:sz w:val="24"/>
            <w:szCs w:val="24"/>
            <w:u w:val="single"/>
            <w:lang w:eastAsia="ru-RU"/>
          </w:rPr>
          <w:t>абзацами третьим - пятым пункта 16</w:t>
        </w:r>
      </w:hyperlink>
      <w:r w:rsidRPr="00030556">
        <w:rPr>
          <w:rFonts w:ascii="Segoe UI" w:eastAsia="Times New Roman" w:hAnsi="Segoe UI" w:cs="Segoe UI"/>
          <w:color w:val="212529"/>
          <w:sz w:val="24"/>
          <w:szCs w:val="24"/>
          <w:lang w:eastAsia="ru-RU"/>
        </w:rPr>
        <w:t xml:space="preserve"> настоящего документа, вправе довести до сведения координатора или иного верификатора информацию по таким показателям в случае </w:t>
      </w:r>
      <w:proofErr w:type="gramStart"/>
      <w:r w:rsidRPr="00030556">
        <w:rPr>
          <w:rFonts w:ascii="Segoe UI" w:eastAsia="Times New Roman" w:hAnsi="Segoe UI" w:cs="Segoe UI"/>
          <w:color w:val="212529"/>
          <w:sz w:val="24"/>
          <w:szCs w:val="24"/>
          <w:lang w:eastAsia="ru-RU"/>
        </w:rPr>
        <w:t>отсутствия</w:t>
      </w:r>
      <w:proofErr w:type="gramEnd"/>
      <w:r w:rsidRPr="00030556">
        <w:rPr>
          <w:rFonts w:ascii="Segoe UI" w:eastAsia="Times New Roman" w:hAnsi="Segoe UI" w:cs="Segoe UI"/>
          <w:color w:val="212529"/>
          <w:sz w:val="24"/>
          <w:szCs w:val="24"/>
          <w:lang w:eastAsia="ru-RU"/>
        </w:rPr>
        <w:t xml:space="preserve"> установленных законодательством Российской Федерации запретов.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Инициаторы, входящие в единый реестр субъектов малого и среднего предпринимательства в соответствии с Федеральным законом "О развитии малого и среднего предпринимательства в Российской Федерации", вправе довести до сведения координатора или иного верификатора информацию в упрощенной форме, включающую только перечень базовых показателей общественного капитала бизнеса и подтверждающие документы.</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51. Оценка соответствия деятельности инициатора целевым значениям показателей общественного капитала бизнеса проводится добровольно по его инициативе на основании заявки инициатора.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Заявка инициатора - единый документ, состоящий из совокупности показателей деятельности инициатора, представляемый в виде отчетности, составленной в соответствии с </w:t>
      </w:r>
      <w:hyperlink r:id="rId15" w:anchor="1200" w:history="1">
        <w:r w:rsidRPr="00030556">
          <w:rPr>
            <w:rFonts w:ascii="Segoe UI" w:eastAsia="Times New Roman" w:hAnsi="Segoe UI" w:cs="Segoe UI"/>
            <w:color w:val="6C757D"/>
            <w:sz w:val="24"/>
            <w:szCs w:val="24"/>
            <w:u w:val="single"/>
            <w:lang w:eastAsia="ru-RU"/>
          </w:rPr>
          <w:t>разделом II</w:t>
        </w:r>
      </w:hyperlink>
      <w:r w:rsidRPr="00030556">
        <w:rPr>
          <w:rFonts w:ascii="Segoe UI" w:eastAsia="Times New Roman" w:hAnsi="Segoe UI" w:cs="Segoe UI"/>
          <w:color w:val="212529"/>
          <w:sz w:val="24"/>
          <w:szCs w:val="24"/>
          <w:lang w:eastAsia="ru-RU"/>
        </w:rPr>
        <w:t> настоящего документа, или в случае, предусмотренном </w:t>
      </w:r>
      <w:hyperlink r:id="rId16" w:anchor="10502" w:history="1">
        <w:r w:rsidRPr="00030556">
          <w:rPr>
            <w:rFonts w:ascii="Segoe UI" w:eastAsia="Times New Roman" w:hAnsi="Segoe UI" w:cs="Segoe UI"/>
            <w:color w:val="6C757D"/>
            <w:sz w:val="24"/>
            <w:szCs w:val="24"/>
            <w:u w:val="single"/>
            <w:lang w:eastAsia="ru-RU"/>
          </w:rPr>
          <w:t>абзацами вторым</w:t>
        </w:r>
      </w:hyperlink>
      <w:r w:rsidRPr="00030556">
        <w:rPr>
          <w:rFonts w:ascii="Segoe UI" w:eastAsia="Times New Roman" w:hAnsi="Segoe UI" w:cs="Segoe UI"/>
          <w:color w:val="212529"/>
          <w:sz w:val="24"/>
          <w:szCs w:val="24"/>
          <w:lang w:eastAsia="ru-RU"/>
        </w:rPr>
        <w:t> и </w:t>
      </w:r>
      <w:hyperlink r:id="rId17" w:anchor="10503" w:history="1">
        <w:r w:rsidRPr="00030556">
          <w:rPr>
            <w:rFonts w:ascii="Segoe UI" w:eastAsia="Times New Roman" w:hAnsi="Segoe UI" w:cs="Segoe UI"/>
            <w:color w:val="6C757D"/>
            <w:sz w:val="24"/>
            <w:szCs w:val="24"/>
            <w:u w:val="single"/>
            <w:lang w:eastAsia="ru-RU"/>
          </w:rPr>
          <w:t>третьим пункта 50</w:t>
        </w:r>
      </w:hyperlink>
      <w:r w:rsidRPr="00030556">
        <w:rPr>
          <w:rFonts w:ascii="Segoe UI" w:eastAsia="Times New Roman" w:hAnsi="Segoe UI" w:cs="Segoe UI"/>
          <w:color w:val="212529"/>
          <w:sz w:val="24"/>
          <w:szCs w:val="24"/>
          <w:lang w:eastAsia="ru-RU"/>
        </w:rPr>
        <w:t> настоящего документа, совокупность сведений, составляющих содержание отчетности, в виде перечня показателей.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 случае если инициатор располагает опубликованной отчетностью, прошедшей независимую внешнюю оценку отчетности, инициатор вправе направить ее координатору или иной организации, включенной в перечень верификаторов, который ведется координатором.</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Для проведения оценки соответствия деятельности инициатора целевым значениям показателей общественного капитала бизнеса могут быть использованы общедоступные сведения, содержащиеся в государственных информационных системах, полученные в установленном порядке.</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lastRenderedPageBreak/>
        <w:t>Заявка инициатора может быть подана верификатору независимо от наличия у инициатора опубликованной отчетности, прошедшей независимую внешнюю оценку отчетности.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52. При проведении оценки соответствия деятельности инициатора целевым значениям показателей общественного капитала бизнеса рассчитывается показатель (показатели) общественного капитала бизнеса инициатора в соответствии с методологией.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53. Методология разрабатывается координатором при участии деловых объединений, акционерных обществ, перечни которых утверждены распоряжением Правительства Российской Федерации от 23 января 2003 г. № 91-р, институтов развития, государственных корпораций, государственной компании, публично-правовых компаний, федеральных органов исполнительной власти, исполнительных органов субъектов Российской Федерации и иных заинтересованных организаций, подлежит рассмотрению советом по методологии, направлению на согласование в проектный офис Правительства Российской Федерации и одобрению подкомиссией по повышению устойчивости финансового сектора и отдельных отраслей экономики Правительственной комиссии по повышению устойчивости российской экономики в условиях санкций.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54. Деятельность координатора должна быть основана на соблюдении принципов независимости и конфиденциальности. Координатор предпринимает меры по предотвращению и урегулированию конфликта интересов в соответствии с </w:t>
      </w:r>
      <w:hyperlink r:id="rId18" w:anchor="1063" w:history="1">
        <w:r w:rsidRPr="00030556">
          <w:rPr>
            <w:rFonts w:ascii="Segoe UI" w:eastAsia="Times New Roman" w:hAnsi="Segoe UI" w:cs="Segoe UI"/>
            <w:color w:val="6C757D"/>
            <w:sz w:val="24"/>
            <w:szCs w:val="24"/>
            <w:u w:val="single"/>
            <w:lang w:eastAsia="ru-RU"/>
          </w:rPr>
          <w:t>пунктом 63</w:t>
        </w:r>
      </w:hyperlink>
      <w:r w:rsidRPr="00030556">
        <w:rPr>
          <w:rFonts w:ascii="Segoe UI" w:eastAsia="Times New Roman" w:hAnsi="Segoe UI" w:cs="Segoe UI"/>
          <w:color w:val="212529"/>
          <w:sz w:val="24"/>
          <w:szCs w:val="24"/>
          <w:lang w:eastAsia="ru-RU"/>
        </w:rPr>
        <w:t> настоящего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Координатор на ежегодной основе формирует и публикует доклад по вопросам общественного капитала бизнеса и о выполнении им функций координатора.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 xml:space="preserve">55. Расчет показателя (показателей) общественного капитала бизнеса </w:t>
      </w:r>
      <w:proofErr w:type="gramStart"/>
      <w:r w:rsidRPr="00030556">
        <w:rPr>
          <w:rFonts w:ascii="Segoe UI" w:eastAsia="Times New Roman" w:hAnsi="Segoe UI" w:cs="Segoe UI"/>
          <w:color w:val="212529"/>
          <w:sz w:val="24"/>
          <w:szCs w:val="24"/>
          <w:lang w:eastAsia="ru-RU"/>
        </w:rPr>
        <w:t>инициатора</w:t>
      </w:r>
      <w:proofErr w:type="gramEnd"/>
      <w:r w:rsidRPr="00030556">
        <w:rPr>
          <w:rFonts w:ascii="Segoe UI" w:eastAsia="Times New Roman" w:hAnsi="Segoe UI" w:cs="Segoe UI"/>
          <w:color w:val="212529"/>
          <w:sz w:val="24"/>
          <w:szCs w:val="24"/>
          <w:lang w:eastAsia="ru-RU"/>
        </w:rPr>
        <w:t xml:space="preserve"> и оценка соответствия деятельности инициатора целевым значениям показателей общественного капитала бизнеса осуществляются в соответствии с методологией координатором или иным верификатором.</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При использовании показателей отчетности, в отношении которой не проводилось профессиональное подтверждение (заверение) отчетности, координатор или иной верификатор проводит проверку расчетов показателя (показателей)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56. В случае если аудит (иная проверка в соответствии со стандартами аудиторской деятельности) бухгалтерской (финансовой) отчетности и (или) консолидированной финансовой отчетности либо профессиональное подтверждение (заверение) отчетности осуществлялись аудиторской организацией, сведения о которой внесены в реестр аудиторских организаций, оказывающих аудиторские услуги общественно значимым организациям, такая аудиторская организация осуществляет верификацию отчетности инициатора за соответствующий период без представления координатору дополнительной информации и документов.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lastRenderedPageBreak/>
        <w:t>57. Верификатор, включенный в перечень верификаторов, направляет координатору результаты оценки соответствия деятельности инициатора целевым значениям показателей общественного капитала бизнеса, включая все произведенные расчеты показателей общественного капитала бизнеса инициатора, с соответствующими документами, на основании которых они рассчитаны, в том числе представленную инициатором отчетность.</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58. Аудиторская организация, сведения о которой внесены в реестр аудиторских организаций, оказывающих аудиторские услуги общественно значимым организациям, включается координатором в перечень верификаторов без соблюдения процедур, предусмотренных </w:t>
      </w:r>
      <w:hyperlink r:id="rId19" w:anchor="1060" w:history="1">
        <w:r w:rsidRPr="00030556">
          <w:rPr>
            <w:rFonts w:ascii="Segoe UI" w:eastAsia="Times New Roman" w:hAnsi="Segoe UI" w:cs="Segoe UI"/>
            <w:color w:val="6C757D"/>
            <w:sz w:val="24"/>
            <w:szCs w:val="24"/>
            <w:u w:val="single"/>
            <w:lang w:eastAsia="ru-RU"/>
          </w:rPr>
          <w:t>пунктами 60 - 62</w:t>
        </w:r>
      </w:hyperlink>
      <w:r w:rsidRPr="00030556">
        <w:rPr>
          <w:rFonts w:ascii="Segoe UI" w:eastAsia="Times New Roman" w:hAnsi="Segoe UI" w:cs="Segoe UI"/>
          <w:color w:val="212529"/>
          <w:sz w:val="24"/>
          <w:szCs w:val="24"/>
          <w:lang w:eastAsia="ru-RU"/>
        </w:rPr>
        <w:t> настоящего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Включение координатором аудиторской организации, сведения о которой внесены в реестр аудиторских организаций, оказывающих аудиторские услуги общественно значимым организациям, в перечень верификаторов осуществляется на основании заявки такой аудиторской организации, к которой приложена выписка из реестра аудиторов и аудиторских организаций саморегулируемой организации аудиторов.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59. Координатор проводит выборочную проверку результатов оценки соответствия деятельности инициаторов целевым значениям показателей общественного капитала бизнеса, включая расчеты показателя (показателей) общественного капитала бизнеса инициаторов, осуществленные любым верификатором.</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По итогам указанной выборочной проверки верификатор может быть исключен из перечня верификаторов в соответствии с </w:t>
      </w:r>
      <w:hyperlink r:id="rId20" w:anchor="1064" w:history="1">
        <w:r w:rsidRPr="00030556">
          <w:rPr>
            <w:rFonts w:ascii="Segoe UI" w:eastAsia="Times New Roman" w:hAnsi="Segoe UI" w:cs="Segoe UI"/>
            <w:color w:val="6C757D"/>
            <w:sz w:val="24"/>
            <w:szCs w:val="24"/>
            <w:u w:val="single"/>
            <w:lang w:eastAsia="ru-RU"/>
          </w:rPr>
          <w:t>пунктом 64</w:t>
        </w:r>
      </w:hyperlink>
      <w:r w:rsidRPr="00030556">
        <w:rPr>
          <w:rFonts w:ascii="Segoe UI" w:eastAsia="Times New Roman" w:hAnsi="Segoe UI" w:cs="Segoe UI"/>
          <w:color w:val="212529"/>
          <w:sz w:val="24"/>
          <w:szCs w:val="24"/>
          <w:lang w:eastAsia="ru-RU"/>
        </w:rPr>
        <w:t> настоящего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60. Для инициирования принятия координатором решения о включении организации в перечень верификаторов организация направляет координатору заявку с приложением документов, указанных в </w:t>
      </w:r>
      <w:hyperlink r:id="rId21" w:anchor="1062" w:history="1">
        <w:r w:rsidRPr="00030556">
          <w:rPr>
            <w:rFonts w:ascii="Segoe UI" w:eastAsia="Times New Roman" w:hAnsi="Segoe UI" w:cs="Segoe UI"/>
            <w:color w:val="6C757D"/>
            <w:sz w:val="24"/>
            <w:szCs w:val="24"/>
            <w:u w:val="single"/>
            <w:lang w:eastAsia="ru-RU"/>
          </w:rPr>
          <w:t>пункте 62</w:t>
        </w:r>
      </w:hyperlink>
      <w:r w:rsidRPr="00030556">
        <w:rPr>
          <w:rFonts w:ascii="Segoe UI" w:eastAsia="Times New Roman" w:hAnsi="Segoe UI" w:cs="Segoe UI"/>
          <w:color w:val="212529"/>
          <w:sz w:val="24"/>
          <w:szCs w:val="24"/>
          <w:lang w:eastAsia="ru-RU"/>
        </w:rPr>
        <w:t> настоящего документа, подтверждающих соответствие организации условиям, указанным в </w:t>
      </w:r>
      <w:hyperlink r:id="rId22" w:anchor="1061" w:history="1">
        <w:r w:rsidRPr="00030556">
          <w:rPr>
            <w:rFonts w:ascii="Segoe UI" w:eastAsia="Times New Roman" w:hAnsi="Segoe UI" w:cs="Segoe UI"/>
            <w:color w:val="6C757D"/>
            <w:sz w:val="24"/>
            <w:szCs w:val="24"/>
            <w:u w:val="single"/>
            <w:lang w:eastAsia="ru-RU"/>
          </w:rPr>
          <w:t>пункте 61</w:t>
        </w:r>
      </w:hyperlink>
      <w:r w:rsidRPr="00030556">
        <w:rPr>
          <w:rFonts w:ascii="Segoe UI" w:eastAsia="Times New Roman" w:hAnsi="Segoe UI" w:cs="Segoe UI"/>
          <w:color w:val="212529"/>
          <w:sz w:val="24"/>
          <w:szCs w:val="24"/>
          <w:lang w:eastAsia="ru-RU"/>
        </w:rPr>
        <w:t> настоящего документа (далее - заявитель), и анкету по форме, определенной координатором (далее - анкета).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Заявка рассматривается координатором не более 30 рабочих дней со дня ее получения.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 процессе рассмотрения заявки координатор может обращаться к заявителю за разъяснениями, запрашивать указанные в </w:t>
      </w:r>
      <w:hyperlink r:id="rId23" w:anchor="1062" w:history="1">
        <w:r w:rsidRPr="00030556">
          <w:rPr>
            <w:rFonts w:ascii="Segoe UI" w:eastAsia="Times New Roman" w:hAnsi="Segoe UI" w:cs="Segoe UI"/>
            <w:color w:val="6C757D"/>
            <w:sz w:val="24"/>
            <w:szCs w:val="24"/>
            <w:u w:val="single"/>
            <w:lang w:eastAsia="ru-RU"/>
          </w:rPr>
          <w:t>пункте 62</w:t>
        </w:r>
      </w:hyperlink>
      <w:r w:rsidRPr="00030556">
        <w:rPr>
          <w:rFonts w:ascii="Segoe UI" w:eastAsia="Times New Roman" w:hAnsi="Segoe UI" w:cs="Segoe UI"/>
          <w:color w:val="212529"/>
          <w:sz w:val="24"/>
          <w:szCs w:val="24"/>
          <w:lang w:eastAsia="ru-RU"/>
        </w:rPr>
        <w:t> настоящего документа, но не представленные заявителем документы.</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По итогам рассмотрения заявки координатор принимает одно из следующих решений: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о включении заявителя в перечень верификаторов;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об отклонении заявки.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 xml:space="preserve">На основании решения о включении или отказа во включении организации в перечень верификаторов координатор направляет по реквизитам, указанным заявителем в заявке, </w:t>
      </w:r>
      <w:r w:rsidRPr="00030556">
        <w:rPr>
          <w:rFonts w:ascii="Segoe UI" w:eastAsia="Times New Roman" w:hAnsi="Segoe UI" w:cs="Segoe UI"/>
          <w:color w:val="212529"/>
          <w:sz w:val="24"/>
          <w:szCs w:val="24"/>
          <w:lang w:eastAsia="ru-RU"/>
        </w:rPr>
        <w:lastRenderedPageBreak/>
        <w:t>уведомление о результатах рассмотрения заявки в течение 5 рабочих дней после принятия решения координатором.</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 случае отклонения заявки координатор информирует заявителя о причинах такого решения.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Координатор отклоняет заявку при наличии хотя бы одного из следующих оснований: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несоответствие заявителя условиям, указанным в </w:t>
      </w:r>
      <w:hyperlink r:id="rId24" w:anchor="1061" w:history="1">
        <w:r w:rsidRPr="00030556">
          <w:rPr>
            <w:rFonts w:ascii="Segoe UI" w:eastAsia="Times New Roman" w:hAnsi="Segoe UI" w:cs="Segoe UI"/>
            <w:color w:val="6C757D"/>
            <w:sz w:val="24"/>
            <w:szCs w:val="24"/>
            <w:u w:val="single"/>
            <w:lang w:eastAsia="ru-RU"/>
          </w:rPr>
          <w:t>пункте 61</w:t>
        </w:r>
      </w:hyperlink>
      <w:r w:rsidRPr="00030556">
        <w:rPr>
          <w:rFonts w:ascii="Segoe UI" w:eastAsia="Times New Roman" w:hAnsi="Segoe UI" w:cs="Segoe UI"/>
          <w:color w:val="212529"/>
          <w:sz w:val="24"/>
          <w:szCs w:val="24"/>
          <w:lang w:eastAsia="ru-RU"/>
        </w:rPr>
        <w:t> настоящего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представление заявителем недостоверных сведений и (или) недействительных документов.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 случае отклонения заявки координатор принимает от заявителя повторную заявку не ранее чем через 12 месяцев с даты отклонения координатором предыдущей заявки.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При возврате заявки без ее рассмотрения по причине непредставления заявителем полного пакета документов, указанных в </w:t>
      </w:r>
      <w:hyperlink r:id="rId25" w:anchor="1062" w:history="1">
        <w:r w:rsidRPr="00030556">
          <w:rPr>
            <w:rFonts w:ascii="Segoe UI" w:eastAsia="Times New Roman" w:hAnsi="Segoe UI" w:cs="Segoe UI"/>
            <w:color w:val="6C757D"/>
            <w:sz w:val="24"/>
            <w:szCs w:val="24"/>
            <w:u w:val="single"/>
            <w:lang w:eastAsia="ru-RU"/>
          </w:rPr>
          <w:t>пункте 62</w:t>
        </w:r>
      </w:hyperlink>
      <w:r w:rsidRPr="00030556">
        <w:rPr>
          <w:rFonts w:ascii="Segoe UI" w:eastAsia="Times New Roman" w:hAnsi="Segoe UI" w:cs="Segoe UI"/>
          <w:color w:val="212529"/>
          <w:sz w:val="24"/>
          <w:szCs w:val="24"/>
          <w:lang w:eastAsia="ru-RU"/>
        </w:rPr>
        <w:t> настоящего документа, координатор принимает от заявителя повторную заявку без ограничения срока после формирования заявителем полного пакета документов, указанных в пункте 62 настоящего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61. Координатор принимает решение о включении заявителя в перечень верификаторов по итогам рассмотрения заявки при соответствии заявителя одновременно следующим условиям:</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а) заявитель имеет эффективные бизнес-процессы, связанные с верификацией, необходимую организационную структуру, внутренние утвержденные правила и процессы (политики), что подтверждается следующими обстоятельствами: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 организационную структуру заявителя входит подразделение (подразделения), занимающееся верификацией;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заявитель определил ответственных за осуществление верификации (работники в штате заявителя или коллегиальные органы);</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заявителем в установленном порядке утверждены нормативные документы по управлению конфликтом интересов, определяющие меры по недопущению влияния на его суждение существующего или потенциального конфликта интересов его учредителей (акционеров, участников), работников и лиц, осуществляющих над ним контроль или оказывающих на него влияние;</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 нормативных документах по управлению конфликтом интересов предусмотрено разграничение функций по верификации с иными направлениями деятельности, отсутствие связи между результатом верификации и размером вознаграждения;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 xml:space="preserve">б) наличие у заявителя достаточного опыта в проведении независимых оценок и представлении профессиональных суждений, который подтверждается наличием не менее 10 проведенных независимых оценок и предоставленных профессиональных суждений в </w:t>
      </w:r>
      <w:r w:rsidRPr="00030556">
        <w:rPr>
          <w:rFonts w:ascii="Segoe UI" w:eastAsia="Times New Roman" w:hAnsi="Segoe UI" w:cs="Segoe UI"/>
          <w:color w:val="212529"/>
          <w:sz w:val="24"/>
          <w:szCs w:val="24"/>
          <w:lang w:eastAsia="ru-RU"/>
        </w:rPr>
        <w:lastRenderedPageBreak/>
        <w:t>пользу не менее чем 2 контрагентов, не аффилированных друг с другом и заявителем, по одному или нескольким из следующих направлений: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верификация инструментов финансирования устойчивого развития;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оказание аудиторских услуг;</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proofErr w:type="spellStart"/>
      <w:r w:rsidRPr="00030556">
        <w:rPr>
          <w:rFonts w:ascii="Segoe UI" w:eastAsia="Times New Roman" w:hAnsi="Segoe UI" w:cs="Segoe UI"/>
          <w:color w:val="212529"/>
          <w:sz w:val="24"/>
          <w:szCs w:val="24"/>
          <w:lang w:eastAsia="ru-RU"/>
        </w:rPr>
        <w:t>рейтингование</w:t>
      </w:r>
      <w:proofErr w:type="spellEnd"/>
      <w:r w:rsidRPr="00030556">
        <w:rPr>
          <w:rFonts w:ascii="Segoe UI" w:eastAsia="Times New Roman" w:hAnsi="Segoe UI" w:cs="Segoe UI"/>
          <w:color w:val="212529"/>
          <w:sz w:val="24"/>
          <w:szCs w:val="24"/>
          <w:lang w:eastAsia="ru-RU"/>
        </w:rPr>
        <w:t xml:space="preserve"> (в том числе выставление кредитных рейтингов, ЭКГ-рейтингов (ESG-рейтингов);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иные услуги по проведению независимых оценок и представлению профессиональных суждений, связанных с экологией, охраной окружающей среды или изменением климата;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 xml:space="preserve">в) наличие у заявителя экспертов (в штате или внештатных, привлекаемых по договорам) достаточной квалификации, необходимой для проведения верификации, что подтверждается наличием не менее чем 10 экспертов с опытом работы не менее 6 месяцев в сфере технологий устойчивого развития, и (или) финансирования устойчивого развития, и (или) аудиторской деятельности, и (или) </w:t>
      </w:r>
      <w:proofErr w:type="spellStart"/>
      <w:r w:rsidRPr="00030556">
        <w:rPr>
          <w:rFonts w:ascii="Segoe UI" w:eastAsia="Times New Roman" w:hAnsi="Segoe UI" w:cs="Segoe UI"/>
          <w:color w:val="212529"/>
          <w:sz w:val="24"/>
          <w:szCs w:val="24"/>
          <w:lang w:eastAsia="ru-RU"/>
        </w:rPr>
        <w:t>рейтингования</w:t>
      </w:r>
      <w:proofErr w:type="spellEnd"/>
      <w:r w:rsidRPr="00030556">
        <w:rPr>
          <w:rFonts w:ascii="Segoe UI" w:eastAsia="Times New Roman" w:hAnsi="Segoe UI" w:cs="Segoe UI"/>
          <w:color w:val="212529"/>
          <w:sz w:val="24"/>
          <w:szCs w:val="24"/>
          <w:lang w:eastAsia="ru-RU"/>
        </w:rPr>
        <w:t>, и (или) проведения независимых оценок, и (или) предоставления профессиональных суждений, и (или) со специализацией (направлением подготовки) по критериям проектов устойчивого развития;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г) наличие у заявителя деловой репутации: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заявитель не включен в реестр недобросовестных поставщиков (подрядчиков, исполнителей) и реестр недобросовестных подрядных организаций, размещенные на сайте в сети "Интернет" (www.zakupki.gov.ru);</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заявитель не находится в процессе ликвидации (включая добровольную ликвидацию);</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у заявителя отсутствует задолженность по налогам, сборам и иным обязательным платежам в бюджеты бюджетной системы Российской Федерации или государственные внебюджетные фонды за прошедший, текущий календарные годы и на последнюю отчетную дату на сумму, превышающую 10000 рублей;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 отношении заявителя не введена процедура банкротства;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д) срок ведения деятельности заявителя составляет не менее 12 месяцев;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е) заявитель соответствует одному из следующих требований: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внесен в реестр кредитных рейтинговых агентств;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учрежден органами государственной власти городов федерального значения;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является аудиторской организацией;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lastRenderedPageBreak/>
        <w:t>является Торгово-промышленной палатой Российской Федерации, Общероссийским объединением работодателей "Российский союз промышленников и предпринимателей", Общероссийской общественной организацией малого и среднего предпринимательства "ОПОРА РОССИИ" или Общероссийской общественной организацией "Деловая Россия".</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62. Для включения в перечень верификаторов заявитель направляет координатору следующие документы:</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а) заявка, включающая следующую информацию:</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запрос о включении заявителя в перечень верификаторов;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полное и сокращенное (при наличии) наименование заявителя и его организационно-правовая форма;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основной государственный регистрационный номер (ОГРН);</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идентификационный номер налогоплательщика заявителя (ИНН);</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место нахождения заявителя, определенное в соответствии с гражданским законодательством Российской Федерации;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реквизиты для направления уведомлений о принятых решениях;</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опись документов, прилагаемых к заявке, содержащая информацию о наименовании и количестве листов каждого прилагаемого к заявке документа, количестве листов в комплекте документов;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б) заполненная анкета, включающая в том числе следующую информацию:</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реквизиты заявителя и контактные данные лица, уполномоченного взаимодействовать с координатором по вопросам включения заявителя в перечень верификаторов и по вопросам верификации;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опыт заявителя в проведении независимых оценок и предоставлении профессиональных суждений (тип услуги, дата оказания услуги, итоговый результат);</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 xml:space="preserve">перечень экспертов с указанием по каждому эксперту его фамилии, имени, отчества (при наличии), опыта работы в сфере технологий устойчивого развития, финансирования устойчивого развития, аудиторской деятельности, </w:t>
      </w:r>
      <w:proofErr w:type="spellStart"/>
      <w:r w:rsidRPr="00030556">
        <w:rPr>
          <w:rFonts w:ascii="Segoe UI" w:eastAsia="Times New Roman" w:hAnsi="Segoe UI" w:cs="Segoe UI"/>
          <w:color w:val="212529"/>
          <w:sz w:val="24"/>
          <w:szCs w:val="24"/>
          <w:lang w:eastAsia="ru-RU"/>
        </w:rPr>
        <w:t>рейтингования</w:t>
      </w:r>
      <w:proofErr w:type="spellEnd"/>
      <w:r w:rsidRPr="00030556">
        <w:rPr>
          <w:rFonts w:ascii="Segoe UI" w:eastAsia="Times New Roman" w:hAnsi="Segoe UI" w:cs="Segoe UI"/>
          <w:color w:val="212529"/>
          <w:sz w:val="24"/>
          <w:szCs w:val="24"/>
          <w:lang w:eastAsia="ru-RU"/>
        </w:rPr>
        <w:t>, проведения независимых оценок или предоставления профессиональных суждений, нахождения в штате заявителя, и (или) оформления на основании договора гражданско-правового характера, и (или) привлечения по договорам (контрактам, соглашениям);</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 xml:space="preserve">наличие у заявителя эффективных бизнес-процессов, связанных с верификацией, и необходимой организационной структуры, внутренних утвержденных правил и процессов </w:t>
      </w:r>
      <w:r w:rsidRPr="00030556">
        <w:rPr>
          <w:rFonts w:ascii="Segoe UI" w:eastAsia="Times New Roman" w:hAnsi="Segoe UI" w:cs="Segoe UI"/>
          <w:color w:val="212529"/>
          <w:sz w:val="24"/>
          <w:szCs w:val="24"/>
          <w:lang w:eastAsia="ru-RU"/>
        </w:rPr>
        <w:lastRenderedPageBreak/>
        <w:t>(политик) и иных нормативных документов, соответствующих условиям, определенным в </w:t>
      </w:r>
      <w:hyperlink r:id="rId26" w:anchor="1061" w:history="1">
        <w:r w:rsidRPr="00030556">
          <w:rPr>
            <w:rFonts w:ascii="Segoe UI" w:eastAsia="Times New Roman" w:hAnsi="Segoe UI" w:cs="Segoe UI"/>
            <w:color w:val="6C757D"/>
            <w:sz w:val="24"/>
            <w:szCs w:val="24"/>
            <w:u w:val="single"/>
            <w:lang w:eastAsia="ru-RU"/>
          </w:rPr>
          <w:t>пункте 61</w:t>
        </w:r>
      </w:hyperlink>
      <w:r w:rsidRPr="00030556">
        <w:rPr>
          <w:rFonts w:ascii="Segoe UI" w:eastAsia="Times New Roman" w:hAnsi="Segoe UI" w:cs="Segoe UI"/>
          <w:color w:val="212529"/>
          <w:sz w:val="24"/>
          <w:szCs w:val="24"/>
          <w:lang w:eastAsia="ru-RU"/>
        </w:rPr>
        <w:t> настоящего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срок ведения деятельности;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реквизиты документов, подтверждающих место нахождения заявителя, определенное в соответствии с гражданским законодательством Российской Федерации;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 учредительные документы заявителя в редакции, действующей на дату подачи заявки;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г) полученная не ранее чем за 3 месяца до подачи заявки выписка из единого государственного реестра юридических лиц или заверенная в порядке, установленном законодательством Российской Федерации, копия такой выписки;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д) оригиналы документов или надлежащим образом заверенные копии документов, прилагаемые к заявке и подтверждающие информацию, указанную в анкете. Отсутствие документального подтверждения указанной в анкете информации может служить основанием для отклонения заявки.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63. Верификаторы обеспечивают:</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 xml:space="preserve">независимость своей деятельности по верификации от любого политического и (или) экономического влияния и (или) инициатора, отсутствие </w:t>
      </w:r>
      <w:proofErr w:type="spellStart"/>
      <w:r w:rsidRPr="00030556">
        <w:rPr>
          <w:rFonts w:ascii="Segoe UI" w:eastAsia="Times New Roman" w:hAnsi="Segoe UI" w:cs="Segoe UI"/>
          <w:color w:val="212529"/>
          <w:sz w:val="24"/>
          <w:szCs w:val="24"/>
          <w:lang w:eastAsia="ru-RU"/>
        </w:rPr>
        <w:t>аффилированности</w:t>
      </w:r>
      <w:proofErr w:type="spellEnd"/>
      <w:r w:rsidRPr="00030556">
        <w:rPr>
          <w:rFonts w:ascii="Segoe UI" w:eastAsia="Times New Roman" w:hAnsi="Segoe UI" w:cs="Segoe UI"/>
          <w:color w:val="212529"/>
          <w:sz w:val="24"/>
          <w:szCs w:val="24"/>
          <w:lang w:eastAsia="ru-RU"/>
        </w:rPr>
        <w:t>, основанной на имущественной, родственной или иной зависимости верификатора от инициатора, его учредителей (участников, акционеров), руководителей и иных должностных лиц, других лиц;</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предотвращение, выявление в ходе деятельности по верификации конфликтов интересов - ситуаций, при которых заинтересованность верификатора может повлиять на оценку верификатором соответствия деятельности инициатора целевым показателям общественного капитала бизнеса, управление такими конфликтами интересов и раскрытие информации о них;</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профессионализм и объективность при проведении верификации;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соблюдение конфиденциальности, полученная информация может быть использована только в целях оценки соответствия деятельности инициатора целевым показателям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64. Организация исключается из перечня верификаторов на основании заявления организации о ее исключении из перечня верификаторов, а также в случае:</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несоответствия организации требованиям, предусмотренным </w:t>
      </w:r>
      <w:hyperlink r:id="rId27" w:anchor="10611" w:history="1">
        <w:r w:rsidRPr="00030556">
          <w:rPr>
            <w:rFonts w:ascii="Segoe UI" w:eastAsia="Times New Roman" w:hAnsi="Segoe UI" w:cs="Segoe UI"/>
            <w:color w:val="6C757D"/>
            <w:sz w:val="24"/>
            <w:szCs w:val="24"/>
            <w:u w:val="single"/>
            <w:lang w:eastAsia="ru-RU"/>
          </w:rPr>
          <w:t>подпунктами "а" - "г"</w:t>
        </w:r>
      </w:hyperlink>
      <w:r w:rsidRPr="00030556">
        <w:rPr>
          <w:rFonts w:ascii="Segoe UI" w:eastAsia="Times New Roman" w:hAnsi="Segoe UI" w:cs="Segoe UI"/>
          <w:color w:val="212529"/>
          <w:sz w:val="24"/>
          <w:szCs w:val="24"/>
          <w:lang w:eastAsia="ru-RU"/>
        </w:rPr>
        <w:t> и </w:t>
      </w:r>
      <w:hyperlink r:id="rId28" w:anchor="10616" w:history="1">
        <w:r w:rsidRPr="00030556">
          <w:rPr>
            <w:rFonts w:ascii="Segoe UI" w:eastAsia="Times New Roman" w:hAnsi="Segoe UI" w:cs="Segoe UI"/>
            <w:color w:val="6C757D"/>
            <w:sz w:val="24"/>
            <w:szCs w:val="24"/>
            <w:u w:val="single"/>
            <w:lang w:eastAsia="ru-RU"/>
          </w:rPr>
          <w:t>"е" пункта 61</w:t>
        </w:r>
      </w:hyperlink>
      <w:r w:rsidRPr="00030556">
        <w:rPr>
          <w:rFonts w:ascii="Segoe UI" w:eastAsia="Times New Roman" w:hAnsi="Segoe UI" w:cs="Segoe UI"/>
          <w:color w:val="212529"/>
          <w:sz w:val="24"/>
          <w:szCs w:val="24"/>
          <w:lang w:eastAsia="ru-RU"/>
        </w:rPr>
        <w:t> настоящего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исключения сведений об организации из реестра кредитных рейтинговых агентств, который ведется Центральным банком Российской Федерации;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lastRenderedPageBreak/>
        <w:t>исключения сведений об аудиторской организации из реестра аудиторов и аудиторских организаций саморегулируемой организации аудиторов;</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исключения сведений об аудиторской организации из реестра аудиторских организаций, оказывающих аудиторские услуги общественно значимым организациям (для аудиторских организаций, включенных в перечень верификаторов в соответствии с </w:t>
      </w:r>
      <w:hyperlink r:id="rId29" w:anchor="1058" w:history="1">
        <w:r w:rsidRPr="00030556">
          <w:rPr>
            <w:rFonts w:ascii="Segoe UI" w:eastAsia="Times New Roman" w:hAnsi="Segoe UI" w:cs="Segoe UI"/>
            <w:color w:val="6C757D"/>
            <w:sz w:val="24"/>
            <w:szCs w:val="24"/>
            <w:u w:val="single"/>
            <w:lang w:eastAsia="ru-RU"/>
          </w:rPr>
          <w:t>пунктом 58</w:t>
        </w:r>
      </w:hyperlink>
      <w:r w:rsidRPr="00030556">
        <w:rPr>
          <w:rFonts w:ascii="Segoe UI" w:eastAsia="Times New Roman" w:hAnsi="Segoe UI" w:cs="Segoe UI"/>
          <w:color w:val="212529"/>
          <w:sz w:val="24"/>
          <w:szCs w:val="24"/>
          <w:lang w:eastAsia="ru-RU"/>
        </w:rPr>
        <w:t> настоящего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выявления 2 и более нарушений методологии по результатам проведения выборочной проверки расчетов показателей общественного капитала бизнеса, предусмотренной </w:t>
      </w:r>
      <w:hyperlink r:id="rId30" w:anchor="1059" w:history="1">
        <w:r w:rsidRPr="00030556">
          <w:rPr>
            <w:rFonts w:ascii="Segoe UI" w:eastAsia="Times New Roman" w:hAnsi="Segoe UI" w:cs="Segoe UI"/>
            <w:color w:val="6C757D"/>
            <w:sz w:val="24"/>
            <w:szCs w:val="24"/>
            <w:u w:val="single"/>
            <w:lang w:eastAsia="ru-RU"/>
          </w:rPr>
          <w:t>пунктом 59</w:t>
        </w:r>
      </w:hyperlink>
      <w:r w:rsidRPr="00030556">
        <w:rPr>
          <w:rFonts w:ascii="Segoe UI" w:eastAsia="Times New Roman" w:hAnsi="Segoe UI" w:cs="Segoe UI"/>
          <w:color w:val="212529"/>
          <w:sz w:val="24"/>
          <w:szCs w:val="24"/>
          <w:lang w:eastAsia="ru-RU"/>
        </w:rPr>
        <w:t> настоящего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65. Форма анкеты, указанная в </w:t>
      </w:r>
      <w:hyperlink r:id="rId31" w:anchor="1060" w:history="1">
        <w:r w:rsidRPr="00030556">
          <w:rPr>
            <w:rFonts w:ascii="Segoe UI" w:eastAsia="Times New Roman" w:hAnsi="Segoe UI" w:cs="Segoe UI"/>
            <w:color w:val="6C757D"/>
            <w:sz w:val="24"/>
            <w:szCs w:val="24"/>
            <w:u w:val="single"/>
            <w:lang w:eastAsia="ru-RU"/>
          </w:rPr>
          <w:t>пункте 60</w:t>
        </w:r>
      </w:hyperlink>
      <w:r w:rsidRPr="00030556">
        <w:rPr>
          <w:rFonts w:ascii="Segoe UI" w:eastAsia="Times New Roman" w:hAnsi="Segoe UI" w:cs="Segoe UI"/>
          <w:color w:val="212529"/>
          <w:sz w:val="24"/>
          <w:szCs w:val="24"/>
          <w:lang w:eastAsia="ru-RU"/>
        </w:rPr>
        <w:t> настоящего документа, и перечень документов, указанных в </w:t>
      </w:r>
      <w:hyperlink r:id="rId32" w:anchor="1062" w:history="1">
        <w:r w:rsidRPr="00030556">
          <w:rPr>
            <w:rFonts w:ascii="Segoe UI" w:eastAsia="Times New Roman" w:hAnsi="Segoe UI" w:cs="Segoe UI"/>
            <w:color w:val="6C757D"/>
            <w:sz w:val="24"/>
            <w:szCs w:val="24"/>
            <w:u w:val="single"/>
            <w:lang w:eastAsia="ru-RU"/>
          </w:rPr>
          <w:t>пункте 62</w:t>
        </w:r>
      </w:hyperlink>
      <w:r w:rsidRPr="00030556">
        <w:rPr>
          <w:rFonts w:ascii="Segoe UI" w:eastAsia="Times New Roman" w:hAnsi="Segoe UI" w:cs="Segoe UI"/>
          <w:color w:val="212529"/>
          <w:sz w:val="24"/>
          <w:szCs w:val="24"/>
          <w:lang w:eastAsia="ru-RU"/>
        </w:rPr>
        <w:t> настоящего документа, раскрываются в определенном координатором порядке, который не должен являться препятствием для быстрого и свободного доступа любого заинтересованного лица к указанным документам и сведениям.</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66. Разногласия по вопросам, связанным с определением целевых значений показателей общественного капитала бизнеса, расчета показателей общественного капитала бизнеса инициатора, включения заинтересованных лиц в перечень верификаторов и другим вопросам, связанным с функционированием системы верификации соответствия деятельности организации целевым значениям показателей общественного капитала бизнеса, рассматриваются подкомиссией по повышению устойчивости финансового сектора и отдельных отраслей экономики Правительственной комиссии по повышению устойчивости российской экономики в условиях санкций.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67. Координатор ведет реестр показателей общественного капитала бизнеса инициаторов, в котором указываются дата расчета показателя, инициатор и верификатор, которым произведен расчет, сведения о соответствии деятельности инициатора целевым значениям показателей общественного капитала бизнеса. Результаты оценки соответствия деятельности инициатора целевым значениям показателей общественного капитала бизнеса считаются действительными в течение 3 лет после включения соответствующих сведений в указанный реестр показателей.</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68. После проведения оценки координатором соответствия деятельности инициатора целевым значениям показателей общественного капитала бизнеса инициатор вправе обратиться к координатору с требованием о формировании и предоставлении ему проекта отчетности.</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Предоставление координатором инициатору проекта отчетности само по себе не является фактом составления отчетности в соответствии с </w:t>
      </w:r>
      <w:hyperlink r:id="rId33" w:anchor="1200" w:history="1">
        <w:r w:rsidRPr="00030556">
          <w:rPr>
            <w:rFonts w:ascii="Segoe UI" w:eastAsia="Times New Roman" w:hAnsi="Segoe UI" w:cs="Segoe UI"/>
            <w:color w:val="6C757D"/>
            <w:sz w:val="24"/>
            <w:szCs w:val="24"/>
            <w:u w:val="single"/>
            <w:lang w:eastAsia="ru-RU"/>
          </w:rPr>
          <w:t>разделом II</w:t>
        </w:r>
      </w:hyperlink>
      <w:r w:rsidRPr="00030556">
        <w:rPr>
          <w:rFonts w:ascii="Segoe UI" w:eastAsia="Times New Roman" w:hAnsi="Segoe UI" w:cs="Segoe UI"/>
          <w:color w:val="212529"/>
          <w:sz w:val="24"/>
          <w:szCs w:val="24"/>
          <w:lang w:eastAsia="ru-RU"/>
        </w:rPr>
        <w:t> настоящего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69. Верификатор вправе оказывать поддержку, связанную с подготовкой и раскрытием отчетности в соответствии с </w:t>
      </w:r>
      <w:hyperlink r:id="rId34" w:anchor="1200" w:history="1">
        <w:r w:rsidRPr="00030556">
          <w:rPr>
            <w:rFonts w:ascii="Segoe UI" w:eastAsia="Times New Roman" w:hAnsi="Segoe UI" w:cs="Segoe UI"/>
            <w:color w:val="6C757D"/>
            <w:sz w:val="24"/>
            <w:szCs w:val="24"/>
            <w:u w:val="single"/>
            <w:lang w:eastAsia="ru-RU"/>
          </w:rPr>
          <w:t>разделом II</w:t>
        </w:r>
      </w:hyperlink>
      <w:r w:rsidRPr="00030556">
        <w:rPr>
          <w:rFonts w:ascii="Segoe UI" w:eastAsia="Times New Roman" w:hAnsi="Segoe UI" w:cs="Segoe UI"/>
          <w:color w:val="212529"/>
          <w:sz w:val="24"/>
          <w:szCs w:val="24"/>
          <w:lang w:eastAsia="ru-RU"/>
        </w:rPr>
        <w:t> настоящего документа.</w:t>
      </w:r>
    </w:p>
    <w:p w:rsid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sectPr w:rsidR="00030556" w:rsidSect="00030556">
          <w:pgSz w:w="11906" w:h="16838"/>
          <w:pgMar w:top="1134" w:right="707" w:bottom="1134" w:left="993" w:header="708" w:footer="708" w:gutter="0"/>
          <w:cols w:space="708"/>
          <w:docGrid w:linePitch="360"/>
        </w:sectPr>
      </w:pPr>
      <w:r w:rsidRPr="00030556">
        <w:rPr>
          <w:rFonts w:ascii="Segoe UI" w:eastAsia="Times New Roman" w:hAnsi="Segoe UI" w:cs="Segoe UI"/>
          <w:color w:val="212529"/>
          <w:sz w:val="24"/>
          <w:szCs w:val="24"/>
          <w:lang w:eastAsia="ru-RU"/>
        </w:rPr>
        <w:lastRenderedPageBreak/>
        <w:t>ПРИЛОЖЕНИЕ</w:t>
      </w:r>
      <w:r w:rsidRPr="00030556">
        <w:rPr>
          <w:rFonts w:ascii="Segoe UI" w:eastAsia="Times New Roman" w:hAnsi="Segoe UI" w:cs="Segoe UI"/>
          <w:color w:val="212529"/>
          <w:sz w:val="24"/>
          <w:szCs w:val="24"/>
          <w:lang w:eastAsia="ru-RU"/>
        </w:rPr>
        <w:br/>
        <w:t>к </w:t>
      </w:r>
      <w:hyperlink r:id="rId35" w:anchor="1000" w:history="1">
        <w:r w:rsidRPr="00030556">
          <w:rPr>
            <w:rFonts w:ascii="Segoe UI" w:eastAsia="Times New Roman" w:hAnsi="Segoe UI" w:cs="Segoe UI"/>
            <w:color w:val="6C757D"/>
            <w:sz w:val="24"/>
            <w:szCs w:val="24"/>
            <w:u w:val="single"/>
            <w:lang w:eastAsia="ru-RU"/>
          </w:rPr>
          <w:t>стандарту</w:t>
        </w:r>
      </w:hyperlink>
      <w:r w:rsidRPr="00030556">
        <w:rPr>
          <w:rFonts w:ascii="Segoe UI" w:eastAsia="Times New Roman" w:hAnsi="Segoe UI" w:cs="Segoe UI"/>
          <w:color w:val="212529"/>
          <w:sz w:val="24"/>
          <w:szCs w:val="24"/>
          <w:lang w:eastAsia="ru-RU"/>
        </w:rPr>
        <w:t> общественного капитала бизнеса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p>
    <w:p w:rsidR="00030556" w:rsidRPr="00030556" w:rsidRDefault="00030556" w:rsidP="00030556">
      <w:pPr>
        <w:shd w:val="clear" w:color="auto" w:fill="FFFFFF"/>
        <w:spacing w:after="100" w:afterAutospacing="1" w:line="240" w:lineRule="auto"/>
        <w:outlineLvl w:val="2"/>
        <w:rPr>
          <w:rFonts w:ascii="Segoe UI" w:eastAsia="Times New Roman" w:hAnsi="Segoe UI" w:cs="Segoe UI"/>
          <w:color w:val="212529"/>
          <w:sz w:val="27"/>
          <w:szCs w:val="27"/>
          <w:lang w:eastAsia="ru-RU"/>
        </w:rPr>
      </w:pPr>
      <w:r w:rsidRPr="00030556">
        <w:rPr>
          <w:rFonts w:ascii="Segoe UI" w:eastAsia="Times New Roman" w:hAnsi="Segoe UI" w:cs="Segoe UI"/>
          <w:color w:val="212529"/>
          <w:sz w:val="27"/>
          <w:szCs w:val="27"/>
          <w:lang w:eastAsia="ru-RU"/>
        </w:rPr>
        <w:t>Перечень</w:t>
      </w:r>
      <w:r w:rsidRPr="00030556">
        <w:rPr>
          <w:rFonts w:ascii="Segoe UI" w:eastAsia="Times New Roman" w:hAnsi="Segoe UI" w:cs="Segoe UI"/>
          <w:color w:val="212529"/>
          <w:sz w:val="27"/>
          <w:szCs w:val="27"/>
          <w:lang w:eastAsia="ru-RU"/>
        </w:rPr>
        <w:br/>
        <w:t>показателей стандарта общественного капитала бизнеса</w:t>
      </w:r>
      <w:hyperlink r:id="rId36" w:anchor="1111" w:history="1">
        <w:r w:rsidRPr="00030556">
          <w:rPr>
            <w:rFonts w:ascii="Segoe UI" w:eastAsia="Times New Roman" w:hAnsi="Segoe UI" w:cs="Segoe UI"/>
            <w:color w:val="6C757D"/>
            <w:sz w:val="24"/>
            <w:szCs w:val="24"/>
            <w:u w:val="single"/>
            <w:vertAlign w:val="superscript"/>
            <w:lang w:eastAsia="ru-RU"/>
          </w:rPr>
          <w:t>1</w:t>
        </w:r>
      </w:hyperlink>
    </w:p>
    <w:tbl>
      <w:tblPr>
        <w:tblW w:w="13843" w:type="dxa"/>
        <w:tblCellMar>
          <w:top w:w="15" w:type="dxa"/>
          <w:left w:w="15" w:type="dxa"/>
          <w:bottom w:w="15" w:type="dxa"/>
          <w:right w:w="15" w:type="dxa"/>
        </w:tblCellMar>
        <w:tblLook w:val="04A0" w:firstRow="1" w:lastRow="0" w:firstColumn="1" w:lastColumn="0" w:noHBand="0" w:noVBand="1"/>
      </w:tblPr>
      <w:tblGrid>
        <w:gridCol w:w="330"/>
        <w:gridCol w:w="4096"/>
        <w:gridCol w:w="2940"/>
        <w:gridCol w:w="6477"/>
      </w:tblGrid>
      <w:tr w:rsidR="00030556" w:rsidRPr="00030556" w:rsidTr="00030556">
        <w:tc>
          <w:tcPr>
            <w:tcW w:w="0" w:type="auto"/>
            <w:gridSpan w:val="2"/>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jc w:val="center"/>
              <w:rPr>
                <w:rFonts w:ascii="Times New Roman" w:eastAsia="Times New Roman" w:hAnsi="Times New Roman" w:cs="Times New Roman"/>
                <w:b/>
                <w:bCs/>
                <w:color w:val="000000"/>
                <w:sz w:val="24"/>
                <w:szCs w:val="24"/>
                <w:lang w:eastAsia="ru-RU"/>
              </w:rPr>
            </w:pPr>
            <w:r w:rsidRPr="00030556">
              <w:rPr>
                <w:rFonts w:ascii="Times New Roman" w:eastAsia="Times New Roman" w:hAnsi="Times New Roman" w:cs="Times New Roman"/>
                <w:b/>
                <w:bCs/>
                <w:color w:val="000000"/>
                <w:sz w:val="24"/>
                <w:szCs w:val="24"/>
                <w:lang w:eastAsia="ru-RU"/>
              </w:rPr>
              <w:t>Наименование показателя</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jc w:val="center"/>
              <w:rPr>
                <w:rFonts w:ascii="Times New Roman" w:eastAsia="Times New Roman" w:hAnsi="Times New Roman" w:cs="Times New Roman"/>
                <w:b/>
                <w:bCs/>
                <w:color w:val="000000"/>
                <w:sz w:val="24"/>
                <w:szCs w:val="24"/>
                <w:lang w:eastAsia="ru-RU"/>
              </w:rPr>
            </w:pPr>
            <w:r w:rsidRPr="00030556">
              <w:rPr>
                <w:rFonts w:ascii="Times New Roman" w:eastAsia="Times New Roman" w:hAnsi="Times New Roman" w:cs="Times New Roman"/>
                <w:b/>
                <w:bCs/>
                <w:color w:val="000000"/>
                <w:sz w:val="24"/>
                <w:szCs w:val="24"/>
                <w:lang w:eastAsia="ru-RU"/>
              </w:rPr>
              <w:t>Единица измерения</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jc w:val="center"/>
              <w:rPr>
                <w:rFonts w:ascii="Times New Roman" w:eastAsia="Times New Roman" w:hAnsi="Times New Roman" w:cs="Times New Roman"/>
                <w:b/>
                <w:bCs/>
                <w:color w:val="000000"/>
                <w:sz w:val="24"/>
                <w:szCs w:val="24"/>
                <w:lang w:eastAsia="ru-RU"/>
              </w:rPr>
            </w:pPr>
            <w:r w:rsidRPr="00030556">
              <w:rPr>
                <w:rFonts w:ascii="Times New Roman" w:eastAsia="Times New Roman" w:hAnsi="Times New Roman" w:cs="Times New Roman"/>
                <w:b/>
                <w:bCs/>
                <w:color w:val="000000"/>
                <w:sz w:val="24"/>
                <w:szCs w:val="24"/>
                <w:lang w:eastAsia="ru-RU"/>
              </w:rPr>
              <w:t>Описание расчета</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w:t>
            </w:r>
          </w:p>
        </w:tc>
      </w:tr>
      <w:tr w:rsidR="00030556" w:rsidRPr="00030556" w:rsidTr="00030556">
        <w:tc>
          <w:tcPr>
            <w:tcW w:w="13843" w:type="dxa"/>
            <w:gridSpan w:val="4"/>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I. Экологические показатели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1.</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Общий объем забираемой воды</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куб. м</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организация руководствуется указаниями по заполнению формы федерального статистического наблюдения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 "Сведения об использовании воды", утвержденной приказом Росстата от 2 октября 2024 г. № 445 "Об утверждении формы федерального статистического наблюдения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 "Сведения об использовании воды" и указаний по ее заполнению" (далее - форма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 (графы 12, 25 и 26 раздела I формы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 Информация раскрывается организациями, являющимися респондентами формы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2.</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Объем использованной воды из всех источников водоснабжения</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куб. м</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организация руководствуется указаниями по заполнению формы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 (графа 31 раздела I формы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 Организация указывает объем использованной свежей воды из всех источников водоснабжения. Информация раскрывается организациями, являющимися респондентами формы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3.</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оборотного и повторно-последовательного водоснабжения в общем объеме собственного потребления воды из всех источников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организация руководствуется указаниями по заполнению формы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 (для расчета используются в том числе показатели в графах 29 и 30 раздела I формы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 Информация раскрывается организациями, являющимися респондентами формы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4.</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Объем сбросов сточных вод (загрязненных, нормативно чистых, нормативно очищенных) в водные объекты и загрязненных стоков, </w:t>
            </w:r>
            <w:r w:rsidRPr="00030556">
              <w:rPr>
                <w:rFonts w:ascii="Times New Roman" w:eastAsia="Times New Roman" w:hAnsi="Times New Roman" w:cs="Times New Roman"/>
                <w:color w:val="000000"/>
                <w:sz w:val="24"/>
                <w:szCs w:val="24"/>
                <w:lang w:eastAsia="ru-RU"/>
              </w:rPr>
              <w:lastRenderedPageBreak/>
              <w:t>переданных на очистку другим предприятиям</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тыс. куб. м</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организация руководствуется указаниями по заполнению формы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 (графы 11, 13 - 15 и 17 раздела II формы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 Информация раскрывается организациями, являющимися респондентами формы № 2-ТП (</w:t>
            </w:r>
            <w:proofErr w:type="spellStart"/>
            <w:r w:rsidRPr="00030556">
              <w:rPr>
                <w:rFonts w:ascii="Times New Roman" w:eastAsia="Times New Roman" w:hAnsi="Times New Roman" w:cs="Times New Roman"/>
                <w:color w:val="000000"/>
                <w:sz w:val="24"/>
                <w:szCs w:val="24"/>
                <w:lang w:eastAsia="ru-RU"/>
              </w:rPr>
              <w:t>водхоз</w:t>
            </w:r>
            <w:proofErr w:type="spellEnd"/>
            <w:r w:rsidRPr="00030556">
              <w:rPr>
                <w:rFonts w:ascii="Times New Roman" w:eastAsia="Times New Roman" w:hAnsi="Times New Roman" w:cs="Times New Roman"/>
                <w:color w:val="000000"/>
                <w:sz w:val="24"/>
                <w:szCs w:val="24"/>
                <w:lang w:eastAsia="ru-RU"/>
              </w:rPr>
              <w:t>)</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5.</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Образовано отходов I - V классов опасности, всего, в том числе: I класса; II класса; III класса; IV класса; V класса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тонн</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организация руководствуется: указаниями по заполнению формы федерального статистического наблюдения № 2-ТП (отходы) "Сведения об образовании, обработке, утилизации, обезвреживании, размещении отходов производства и потребления", утвержденной приказом Росстата от 6 ноября 2025 г. № 614 "Об утверждении формы федерального статистического наблюдения № 2-ТП (отходы) "Сведения об образовании, обработке, утилизации, обезвреживании, размещении отходов производства и потребления" и указаний по ее заполнению" (далее - форма № 2-ТП (отходы) (графы Г и 2 раздела I формы № 2-ТП (отходы); расчетами нормативов образования отходов и лимитов на их размещение (на объектах, оказывающих негативное воздействие на окружающую среду, I и II категорий) в соответствии с приказом Минприроды России от 7 декабря 2020 г. № 1021 "Об утверждении методических указаний по разработке проектов нормативов образования отходов и лимитов на их размещение" (далее - приказ № 1021); данными, содержащимися в комплексном экологическом разрешении (на объектах, оказывающих негативное воздействие на окружающую среду, I категории), в соответствии с пунктом 10 статьи 31</w:t>
            </w:r>
            <w:r w:rsidRPr="00030556">
              <w:rPr>
                <w:rFonts w:ascii="Times New Roman" w:eastAsia="Times New Roman" w:hAnsi="Times New Roman" w:cs="Times New Roman"/>
                <w:color w:val="000000"/>
                <w:sz w:val="20"/>
                <w:szCs w:val="20"/>
                <w:vertAlign w:val="superscript"/>
                <w:lang w:eastAsia="ru-RU"/>
              </w:rPr>
              <w:t>1</w:t>
            </w:r>
            <w:r w:rsidRPr="00030556">
              <w:rPr>
                <w:rFonts w:ascii="Times New Roman" w:eastAsia="Times New Roman" w:hAnsi="Times New Roman" w:cs="Times New Roman"/>
                <w:color w:val="000000"/>
                <w:sz w:val="24"/>
                <w:szCs w:val="24"/>
                <w:lang w:eastAsia="ru-RU"/>
              </w:rPr>
              <w:t xml:space="preserve"> Федерального закона "Об охране окружающей среды"; данными, содержащимися в Декларации о воздействии на окружающую среду, предусмотренной приложением № 1 к приказу Минприроды России от 19 марта 2025 г. № 117 "Об утверждении формы декларации о воздействии на окружающую среду и порядка ее заполнения, в том числе в форме электронного документа, подписанного усиленной квалифицированной электронной подписью" (далее - Декларация о воздействии на окружающую среду) (на объектах, оказывающих негативное воздействие на окружающую среду, II категории); данными, содержащимися в отчете об организации и о результатах осуществления производственного экологического контроля </w:t>
            </w:r>
            <w:r w:rsidRPr="00030556">
              <w:rPr>
                <w:rFonts w:ascii="Times New Roman" w:eastAsia="Times New Roman" w:hAnsi="Times New Roman" w:cs="Times New Roman"/>
                <w:color w:val="000000"/>
                <w:sz w:val="24"/>
                <w:szCs w:val="24"/>
                <w:lang w:eastAsia="ru-RU"/>
              </w:rPr>
              <w:lastRenderedPageBreak/>
              <w:t>(на объектах, оказывающих негативное воздействие на окружающую среду, I, II и III категорий), в соответствии с приказом Минприроды России от 18 февраля 2022 г. № 109 "Об утверждении требований к содержанию программы производственного экологического контроля, порядка и сроков представления отчета об организации и о результатах осуществления производственного экологического контроля" (далее - приказ № 109). Информация раскрывается организациями, являющимися респондентами формы № 2-ТП (отходы)</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6.</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Обращение с отходами, всего, в том числе по категориям: утилизировано отходов (в том числе для повторного применения, для энергетической утилизации); обезврежено отходов; захоронено отходов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тонн</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организация руководствуется: указаниями по заполнению формы № 2-ТП (отходы) (графы Г, 10 - 13 и 28 раздела I формы 2-ТП (отходы); расчетами нормативов образования отходов и лимитов на их размещение (на объектах, оказывающих негативное воздействие на окружающую среду, I и II категории) в соответствии с приказом № 1021; данными, содержащимися в комплексном экологическом разрешении (на объектах, оказывающих негативное воздействие на окружающую среду, I категории), в соответствии с пунктом 10 статьи 31</w:t>
            </w:r>
            <w:r w:rsidRPr="00030556">
              <w:rPr>
                <w:rFonts w:ascii="Times New Roman" w:eastAsia="Times New Roman" w:hAnsi="Times New Roman" w:cs="Times New Roman"/>
                <w:color w:val="000000"/>
                <w:sz w:val="20"/>
                <w:szCs w:val="20"/>
                <w:vertAlign w:val="superscript"/>
                <w:lang w:eastAsia="ru-RU"/>
              </w:rPr>
              <w:t>1</w:t>
            </w:r>
            <w:r w:rsidRPr="00030556">
              <w:rPr>
                <w:rFonts w:ascii="Times New Roman" w:eastAsia="Times New Roman" w:hAnsi="Times New Roman" w:cs="Times New Roman"/>
                <w:color w:val="000000"/>
                <w:sz w:val="24"/>
                <w:szCs w:val="24"/>
                <w:lang w:eastAsia="ru-RU"/>
              </w:rPr>
              <w:t> Федерального закона "Об охране окружающей среды"; данными, содержащимися в Декларации о воздействии на окружающую среду (на объектах, оказывающих негативное воздействие на окружающую среду, II категории), в соответствии с пунктом 3 статьи 31</w:t>
            </w:r>
            <w:r w:rsidRPr="00030556">
              <w:rPr>
                <w:rFonts w:ascii="Times New Roman" w:eastAsia="Times New Roman" w:hAnsi="Times New Roman" w:cs="Times New Roman"/>
                <w:color w:val="000000"/>
                <w:sz w:val="20"/>
                <w:szCs w:val="20"/>
                <w:vertAlign w:val="superscript"/>
                <w:lang w:eastAsia="ru-RU"/>
              </w:rPr>
              <w:t>2</w:t>
            </w:r>
            <w:r w:rsidRPr="00030556">
              <w:rPr>
                <w:rFonts w:ascii="Times New Roman" w:eastAsia="Times New Roman" w:hAnsi="Times New Roman" w:cs="Times New Roman"/>
                <w:color w:val="000000"/>
                <w:sz w:val="24"/>
                <w:szCs w:val="24"/>
                <w:lang w:eastAsia="ru-RU"/>
              </w:rPr>
              <w:t> Федерального закона "Об охране окружающей среды"; данными, содержащимися в отчете об организации и о результатах осуществления производственного экологического контроля (на объектах, оказывающих негативное воздействие на окружающую среду, I, II и III категорий), в соответствии с приказом № 109. Информация раскрывается организациями, являющимися респондентами формы № 2-ТП (отходы)</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7.</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Масса выбросов загрязняющих веществ в атмосферный воздух от стационарных источников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тонн</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при расчете организация руководствуется: указаниями по заполнению формы федерального статистического наблюдения № 2-ТП (воздух) "Сведения об охране атмосферного воздуха", утвержденной приказом Росстата от 8 </w:t>
            </w:r>
            <w:r w:rsidRPr="00030556">
              <w:rPr>
                <w:rFonts w:ascii="Times New Roman" w:eastAsia="Times New Roman" w:hAnsi="Times New Roman" w:cs="Times New Roman"/>
                <w:color w:val="000000"/>
                <w:sz w:val="24"/>
                <w:szCs w:val="24"/>
                <w:lang w:eastAsia="ru-RU"/>
              </w:rPr>
              <w:lastRenderedPageBreak/>
              <w:t>ноября 2018 г. № 661 "Об утверждении статистического инструментария для организации Федеральной службой по надзору в сфере природопользования федерального статистического наблюдения за охраной атмосферного воздуха" (далее - форма № 2-ТП (воздух) (номер строки 101, графа 7 раздела 1 формы № 2-ТП (воздух);</w:t>
            </w:r>
            <w:r w:rsidRPr="00030556">
              <w:rPr>
                <w:rFonts w:ascii="Times New Roman" w:eastAsia="Times New Roman" w:hAnsi="Times New Roman" w:cs="Times New Roman"/>
                <w:color w:val="000000"/>
                <w:sz w:val="24"/>
                <w:szCs w:val="24"/>
                <w:lang w:eastAsia="ru-RU"/>
              </w:rPr>
              <w:br/>
              <w:t>расчетами предельно допустимых выбросов (на объектах, оказывающих негативное воздействие на окружающую среду, I, II и III категорий) в соответствии с приказом Минприроды России от 11 августа 2020 г. № 581 "Об утверждении методики разработки (расчета) и установления нормативов допустимых выбросов загрязняющих веществ в атмосферный воздух"; данными, содержащимися в комплексном экологическом разрешении (на объектах, оказывающих негативное воздействие на окружающую среду, I категории), в соответствии с пунктом 10 статьи 31</w:t>
            </w:r>
            <w:r w:rsidRPr="00030556">
              <w:rPr>
                <w:rFonts w:ascii="Times New Roman" w:eastAsia="Times New Roman" w:hAnsi="Times New Roman" w:cs="Times New Roman"/>
                <w:color w:val="000000"/>
                <w:sz w:val="20"/>
                <w:szCs w:val="20"/>
                <w:vertAlign w:val="superscript"/>
                <w:lang w:eastAsia="ru-RU"/>
              </w:rPr>
              <w:t>1</w:t>
            </w:r>
            <w:r w:rsidRPr="00030556">
              <w:rPr>
                <w:rFonts w:ascii="Times New Roman" w:eastAsia="Times New Roman" w:hAnsi="Times New Roman" w:cs="Times New Roman"/>
                <w:color w:val="000000"/>
                <w:sz w:val="24"/>
                <w:szCs w:val="24"/>
                <w:lang w:eastAsia="ru-RU"/>
              </w:rPr>
              <w:t> Федерального закона "Об охране окружающей среды"; данными, содержащимися в Декларации о воздействии на окружающую среду (на объектах, оказывающих негативное воздействие на окружающую среду, II категории), в соответствии с пунктом 3 статьи 31</w:t>
            </w:r>
            <w:r w:rsidRPr="00030556">
              <w:rPr>
                <w:rFonts w:ascii="Times New Roman" w:eastAsia="Times New Roman" w:hAnsi="Times New Roman" w:cs="Times New Roman"/>
                <w:color w:val="000000"/>
                <w:sz w:val="20"/>
                <w:szCs w:val="20"/>
                <w:vertAlign w:val="superscript"/>
                <w:lang w:eastAsia="ru-RU"/>
              </w:rPr>
              <w:t>2</w:t>
            </w:r>
            <w:r w:rsidRPr="00030556">
              <w:rPr>
                <w:rFonts w:ascii="Times New Roman" w:eastAsia="Times New Roman" w:hAnsi="Times New Roman" w:cs="Times New Roman"/>
                <w:color w:val="000000"/>
                <w:sz w:val="24"/>
                <w:szCs w:val="24"/>
                <w:lang w:eastAsia="ru-RU"/>
              </w:rPr>
              <w:t> Федерального закона "Об охране окружающей среды"; данными, содержащимися в отчете об организации и о результатах осуществления производственного экологического контроля (на объектах, оказывающих негативное воздействие на окружающую среду, I, II и III категорий), в соответствии с приказом № 109. Информация раскрывается организациями, являющимися респондентами формы № 2-ТП (воздух)</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8.</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Масса выбросов парниковых газов, включая прямые и косвенные выбросы</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тонн (CO</w:t>
            </w:r>
            <w:r w:rsidRPr="00030556">
              <w:rPr>
                <w:rFonts w:ascii="Times New Roman" w:eastAsia="Times New Roman" w:hAnsi="Times New Roman" w:cs="Times New Roman"/>
                <w:color w:val="000000"/>
                <w:sz w:val="20"/>
                <w:szCs w:val="20"/>
                <w:vertAlign w:val="subscript"/>
                <w:lang w:eastAsia="ru-RU"/>
              </w:rPr>
              <w:t>2</w:t>
            </w:r>
            <w:r w:rsidRPr="00030556">
              <w:rPr>
                <w:rFonts w:ascii="Times New Roman" w:eastAsia="Times New Roman" w:hAnsi="Times New Roman" w:cs="Times New Roman"/>
                <w:color w:val="000000"/>
                <w:sz w:val="24"/>
                <w:szCs w:val="24"/>
                <w:lang w:eastAsia="ru-RU"/>
              </w:rPr>
              <w:t>-эквивалент)</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формировании целевых показателей организация руководствуется Федеральным законом "Об ограничении выбросов парниковых газов" и методикой количественного определения объема выбросов парниковых газов, утвержденной приказом Минприроды России от 27 мая 2022 г. № 371 "Об утверждении методик количественного определения объемов выбросов парниковых газов и поглощений парниковых газов</w:t>
            </w:r>
            <w:proofErr w:type="gramStart"/>
            <w:r w:rsidRPr="00030556">
              <w:rPr>
                <w:rFonts w:ascii="Times New Roman" w:eastAsia="Times New Roman" w:hAnsi="Times New Roman" w:cs="Times New Roman"/>
                <w:color w:val="000000"/>
                <w:sz w:val="24"/>
                <w:szCs w:val="24"/>
                <w:lang w:eastAsia="ru-RU"/>
              </w:rPr>
              <w:t>".</w:t>
            </w:r>
            <w:r w:rsidRPr="00030556">
              <w:rPr>
                <w:rFonts w:ascii="Times New Roman" w:eastAsia="Times New Roman" w:hAnsi="Times New Roman" w:cs="Times New Roman"/>
                <w:color w:val="000000"/>
                <w:sz w:val="24"/>
                <w:szCs w:val="24"/>
                <w:lang w:eastAsia="ru-RU"/>
              </w:rPr>
              <w:br/>
            </w:r>
            <w:r w:rsidRPr="00030556">
              <w:rPr>
                <w:rFonts w:ascii="Times New Roman" w:eastAsia="Times New Roman" w:hAnsi="Times New Roman" w:cs="Times New Roman"/>
                <w:color w:val="000000"/>
                <w:sz w:val="24"/>
                <w:szCs w:val="24"/>
                <w:lang w:eastAsia="ru-RU"/>
              </w:rPr>
              <w:lastRenderedPageBreak/>
              <w:br/>
              <w:t>Показатели</w:t>
            </w:r>
            <w:proofErr w:type="gramEnd"/>
            <w:r w:rsidRPr="00030556">
              <w:rPr>
                <w:rFonts w:ascii="Times New Roman" w:eastAsia="Times New Roman" w:hAnsi="Times New Roman" w:cs="Times New Roman"/>
                <w:color w:val="000000"/>
                <w:sz w:val="24"/>
                <w:szCs w:val="24"/>
                <w:lang w:eastAsia="ru-RU"/>
              </w:rPr>
              <w:t xml:space="preserve"> о массах выбросов парниковых газов по прямым выбросам и косвенным выбросам рассчитываются отдельно. Дополнительно рассчитывается и указывается объем косвенных энергетических выбросов парниковых газов на основе методических указаний по количественному определению объема косвенных энергетических выбросов парниковых газов, утвержденных приказом Минприроды России от 29 июня 2017 г. № 330 "Об утверждении методических указаний по количественному определению объема косвенных энергетических выбросов парниковых газов". Необходимо указывать совокупное значение выбросов парниковых газов в CO</w:t>
            </w:r>
            <w:r w:rsidRPr="00030556">
              <w:rPr>
                <w:rFonts w:ascii="Times New Roman" w:eastAsia="Times New Roman" w:hAnsi="Times New Roman" w:cs="Times New Roman"/>
                <w:color w:val="000000"/>
                <w:sz w:val="20"/>
                <w:szCs w:val="20"/>
                <w:vertAlign w:val="subscript"/>
                <w:lang w:eastAsia="ru-RU"/>
              </w:rPr>
              <w:t>2</w:t>
            </w:r>
            <w:r w:rsidRPr="00030556">
              <w:rPr>
                <w:rFonts w:ascii="Times New Roman" w:eastAsia="Times New Roman" w:hAnsi="Times New Roman" w:cs="Times New Roman"/>
                <w:color w:val="000000"/>
                <w:sz w:val="24"/>
                <w:szCs w:val="24"/>
                <w:lang w:eastAsia="ru-RU"/>
              </w:rPr>
              <w:t>-эквиваленте, в том числе отдельно необходимо указать совокупное значение прямых выбросов парниковых газов и отдельно косвенных выбросов парниковых газов. Значение выбросов парниковых газов рассчитывается без учета сокращений и (или) поглощений парниковых газов, полученных в результате реализации климатического проекта в случае, если соответствующие сокращения и (или) поглощения были переданы иному лицу в форме углеродных единиц. Значение выбросов парниковых газов корректируется на массу выбросов, эквивалентную приобретенным и зачтенным (аннулированным) углеродным единицам</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9.</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Углеродный след продукции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тонн СО</w:t>
            </w:r>
            <w:r w:rsidRPr="00030556">
              <w:rPr>
                <w:rFonts w:ascii="Times New Roman" w:eastAsia="Times New Roman" w:hAnsi="Times New Roman" w:cs="Times New Roman"/>
                <w:color w:val="000000"/>
                <w:sz w:val="20"/>
                <w:szCs w:val="20"/>
                <w:vertAlign w:val="subscript"/>
                <w:lang w:eastAsia="ru-RU"/>
              </w:rPr>
              <w:t>2</w:t>
            </w:r>
            <w:r w:rsidRPr="00030556">
              <w:rPr>
                <w:rFonts w:ascii="Times New Roman" w:eastAsia="Times New Roman" w:hAnsi="Times New Roman" w:cs="Times New Roman"/>
                <w:color w:val="000000"/>
                <w:sz w:val="24"/>
                <w:szCs w:val="24"/>
                <w:lang w:eastAsia="ru-RU"/>
              </w:rPr>
              <w:t>-эквивалента на единицу продукции</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при расчете следует руководствоваться национальным стандартом Российской Федерации "Газы парниковые. Углеродный след продукции. Требования и руководящие указания по количественному определению" ГОСТ Р ИСО 14067-2021, введенным в действие приказом </w:t>
            </w:r>
            <w:proofErr w:type="spellStart"/>
            <w:r w:rsidRPr="00030556">
              <w:rPr>
                <w:rFonts w:ascii="Times New Roman" w:eastAsia="Times New Roman" w:hAnsi="Times New Roman" w:cs="Times New Roman"/>
                <w:color w:val="000000"/>
                <w:sz w:val="24"/>
                <w:szCs w:val="24"/>
                <w:lang w:eastAsia="ru-RU"/>
              </w:rPr>
              <w:t>Росстандарта</w:t>
            </w:r>
            <w:proofErr w:type="spellEnd"/>
            <w:r w:rsidRPr="00030556">
              <w:rPr>
                <w:rFonts w:ascii="Times New Roman" w:eastAsia="Times New Roman" w:hAnsi="Times New Roman" w:cs="Times New Roman"/>
                <w:color w:val="000000"/>
                <w:sz w:val="24"/>
                <w:szCs w:val="24"/>
                <w:lang w:eastAsia="ru-RU"/>
              </w:rPr>
              <w:t xml:space="preserve"> от 30 сентября 2021 г. № 1032-ст, и указывать в отчетности, рассчитан ли показатель - углеродный след продукции в отношении всего жизненного цикла продукции или отдельной его части. При отражении показателя - углеродный след продукции следует указывать как совокупное значение, так и отдельно показатели прямых и косвенных выбросов на единицу продукции. Следует рассчитывать углеродный след </w:t>
            </w:r>
            <w:r w:rsidRPr="00030556">
              <w:rPr>
                <w:rFonts w:ascii="Times New Roman" w:eastAsia="Times New Roman" w:hAnsi="Times New Roman" w:cs="Times New Roman"/>
                <w:color w:val="000000"/>
                <w:sz w:val="24"/>
                <w:szCs w:val="24"/>
                <w:lang w:eastAsia="ru-RU"/>
              </w:rPr>
              <w:lastRenderedPageBreak/>
              <w:t>для каждого наименования производимой продукции, при этом допускается указание углеродного следа в отношении только отдельных наименований производимой продукции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10.</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на реализацию мероприятий, связанных с охраной окружающей среды, всего, в том числе: на охрану атмосферного воздуха и предотвращение изменения климата; на сбор и очистку сточных вод; на обращение с отходами; на сохранение биоразнообразия и природных территорий; на охрану и рациональное использование земель; на реабилитацию земель; на защиту окружающей среды от шумового, вибрационного и других видов физического воздействия; на обеспечение радиационной безопасности окружающей среды; на другие направления деятельности в сфере охраны окружающей среды</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указываются расходы на реализацию мероприятий, связанных с охраной окружающей среды (за исключением штрафов), по категориям. При расчете организация руководствуется формой № 4-ОС "Сведения о текущих затратах на охрану окружающей среды" федерального статистического наблюдения, утвержденной приказом Росстата от 22 июля 2025 г. № 346 "Об утверждении форм федерального статистического наблюдения и указаний по их заполнению для организации федерального статистического наблюдения за сельским хозяйством и окружающей природной средой" (номера строк 01, 02, 03, 04, 05, 06, 07, 08 и 10 графы 3). Информация раскрывается организациями, являющимися респондентами формы № 4-ОС "Сведения о текущих затратах на охрану окружающей среды" федерального статистического наблюдения, утвержденной приказом Росстата от 22 июля 2025 г. № 346 "Об утверждении форм федерального статистического наблюдения и указаний по их заполнению для организации федерального статистического наблюдения за сельским хозяйством и окружающей природной средой", в соответствии с пунктом 1 указаний по заполнению формы федерального статистического наблюдения, предусмотренных указанным приказом Росстата</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11.</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Объем потребления возобновляемой и </w:t>
            </w:r>
            <w:proofErr w:type="spellStart"/>
            <w:r w:rsidRPr="00030556">
              <w:rPr>
                <w:rFonts w:ascii="Times New Roman" w:eastAsia="Times New Roman" w:hAnsi="Times New Roman" w:cs="Times New Roman"/>
                <w:color w:val="000000"/>
                <w:sz w:val="24"/>
                <w:szCs w:val="24"/>
                <w:lang w:eastAsia="ru-RU"/>
              </w:rPr>
              <w:t>низкоуглеродной</w:t>
            </w:r>
            <w:proofErr w:type="spellEnd"/>
            <w:r w:rsidRPr="00030556">
              <w:rPr>
                <w:rFonts w:ascii="Times New Roman" w:eastAsia="Times New Roman" w:hAnsi="Times New Roman" w:cs="Times New Roman"/>
                <w:color w:val="000000"/>
                <w:sz w:val="24"/>
                <w:szCs w:val="24"/>
                <w:lang w:eastAsia="ru-RU"/>
              </w:rPr>
              <w:t xml:space="preserve"> энергии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ГДж, 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организацией раскрываются отдельно сведения о потреблении электроэнергии, полученной от возобновляемых источников энергии, определенных в соответствии со статьей 3 Федерального закона "Об электроэнергетике", и отдельно сведения о потреблении электроэнергии от </w:t>
            </w:r>
            <w:proofErr w:type="spellStart"/>
            <w:r w:rsidRPr="00030556">
              <w:rPr>
                <w:rFonts w:ascii="Times New Roman" w:eastAsia="Times New Roman" w:hAnsi="Times New Roman" w:cs="Times New Roman"/>
                <w:color w:val="000000"/>
                <w:sz w:val="24"/>
                <w:szCs w:val="24"/>
                <w:lang w:eastAsia="ru-RU"/>
              </w:rPr>
              <w:t>низкоуглеродных</w:t>
            </w:r>
            <w:proofErr w:type="spellEnd"/>
            <w:r w:rsidRPr="00030556">
              <w:rPr>
                <w:rFonts w:ascii="Times New Roman" w:eastAsia="Times New Roman" w:hAnsi="Times New Roman" w:cs="Times New Roman"/>
                <w:color w:val="000000"/>
                <w:sz w:val="24"/>
                <w:szCs w:val="24"/>
                <w:lang w:eastAsia="ru-RU"/>
              </w:rPr>
              <w:t xml:space="preserve"> видов топлива, определенных в соответствии с пунктом 2.1 раздела I критериев проектов устойчивого (в том числе зеленого) развития в Российской Федерации, утвержденных постановлением Правительства Российской Федерации от 21 сентября 2021 г. № 1587 "Об утверждении критериев проектов устойчивого (в том числе зеленого) развития в </w:t>
            </w:r>
            <w:r w:rsidRPr="00030556">
              <w:rPr>
                <w:rFonts w:ascii="Times New Roman" w:eastAsia="Times New Roman" w:hAnsi="Times New Roman" w:cs="Times New Roman"/>
                <w:color w:val="000000"/>
                <w:sz w:val="24"/>
                <w:szCs w:val="24"/>
                <w:lang w:eastAsia="ru-RU"/>
              </w:rPr>
              <w:lastRenderedPageBreak/>
              <w:t>Российской Федерации и требований к системе верификации инструментов финансирования устойчивого развития в Российской Федерации", в абсолютном выражении и в процентах от общего потребления энергии в отчетном периоде</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12.</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Собственное энергопотребление без учета отпуска тепла и электроэнергии внешним потребителям, всего, в том числе: тепловая энергия; электроэнергия; по видам использованного топлива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ГДж</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при расчете организация руководствуется указаниями по заполнению формы федерального статистического наблюдения № 4-ТЭР "Сведения об использовании топливно-энергетических ресурсов", утвержденной приказом Росстата от 31 июля 2024 г. № 334 "Об утверждении форм федерального статистического наблюдения и указаний по их заполнению для организации федерального статистического наблюдения за деятельностью предприятий" (далее - форма № 4-ТЭР) (номер строки 47, графы 2 - 4 раздела 2 формы № 4-ТЭР). Перевод из натуральных величин в </w:t>
            </w:r>
            <w:proofErr w:type="spellStart"/>
            <w:r w:rsidRPr="00030556">
              <w:rPr>
                <w:rFonts w:ascii="Times New Roman" w:eastAsia="Times New Roman" w:hAnsi="Times New Roman" w:cs="Times New Roman"/>
                <w:color w:val="000000"/>
                <w:sz w:val="24"/>
                <w:szCs w:val="24"/>
                <w:lang w:eastAsia="ru-RU"/>
              </w:rPr>
              <w:t>гигаджоули</w:t>
            </w:r>
            <w:proofErr w:type="spellEnd"/>
            <w:r w:rsidRPr="00030556">
              <w:rPr>
                <w:rFonts w:ascii="Times New Roman" w:eastAsia="Times New Roman" w:hAnsi="Times New Roman" w:cs="Times New Roman"/>
                <w:color w:val="000000"/>
                <w:sz w:val="24"/>
                <w:szCs w:val="24"/>
                <w:lang w:eastAsia="ru-RU"/>
              </w:rPr>
              <w:t xml:space="preserve"> осуществляется на основании государственного стандарта Российской Федерации "Энергосбережение. Методика определения энергоемкости при производстве продукции и оказании услуг в технологических энергетических системах. Общие положения" ГОСТ Р 51750-2001, принятого постановлением Госстандарта России от 21 мая 2001 г. № 211-ст (пункт 6.3.2.3). Информация раскрывается организациями, являющимися респондентами формы № 4-ТЭР</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13.</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использованных вторичных ресурсов в общем объеме использования материальных ресурсов для производства товаров, выполнения работ, оказания услуг или получения энергии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суммы осуществляемых организацией закупок вторичных ресурсов, определяемых в соответствии со статьей 1 Федерального закона "Об отходах производства и потребления", к сумме общего объема закупок товаров организацией за отчетный период</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14.</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Плата за негативное воздействие на окружающую среду</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организация руководствуется статьями 16 - 16</w:t>
            </w:r>
            <w:r w:rsidRPr="00030556">
              <w:rPr>
                <w:rFonts w:ascii="Times New Roman" w:eastAsia="Times New Roman" w:hAnsi="Times New Roman" w:cs="Times New Roman"/>
                <w:color w:val="000000"/>
                <w:sz w:val="20"/>
                <w:szCs w:val="20"/>
                <w:vertAlign w:val="superscript"/>
                <w:lang w:eastAsia="ru-RU"/>
              </w:rPr>
              <w:t>4</w:t>
            </w:r>
            <w:r w:rsidRPr="00030556">
              <w:rPr>
                <w:rFonts w:ascii="Times New Roman" w:eastAsia="Times New Roman" w:hAnsi="Times New Roman" w:cs="Times New Roman"/>
                <w:color w:val="000000"/>
                <w:sz w:val="24"/>
                <w:szCs w:val="24"/>
                <w:lang w:eastAsia="ru-RU"/>
              </w:rPr>
              <w:t xml:space="preserve"> Федерального закона "Об охране окружающей среды", приказом Минприроды России от 10 декабря 2020 г. № 1043 "Об утверждении Порядка представления декларации о плате за негативное воздействие на окружающую среду и ее формы и о признании утратившими силу приказов Министерства </w:t>
            </w:r>
            <w:r w:rsidRPr="00030556">
              <w:rPr>
                <w:rFonts w:ascii="Times New Roman" w:eastAsia="Times New Roman" w:hAnsi="Times New Roman" w:cs="Times New Roman"/>
                <w:color w:val="000000"/>
                <w:sz w:val="24"/>
                <w:szCs w:val="24"/>
                <w:lang w:eastAsia="ru-RU"/>
              </w:rPr>
              <w:lastRenderedPageBreak/>
              <w:t>природных ресурсов и экологии Российской Федерации от 9 января 2017 г. № 3 и от 30 декабря 2019 г. № 899"</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15.</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Затраты на компенсации и штрафы в части: штрафов за нарушения природоохранного законодательства; компенсации вреда (ущерба), причиненного окружающей среде</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используются данные бухгалтерского учета</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16.</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Аварии и инциденты, повлекшие за собой негативное воздействие на окружающую среду (в том числе в результате чрезвычайных ситуаций техногенного характера)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единиц</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отражаются случаи экологически значимых инцидентов на основании соответствующих вступивших в силу судебных актов и (или) неотмененных актов надзорных органов</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17.</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Инвестиции в основной капитал, направленные на охрану окружающей среды и рациональное использование природных ресурсов, в том числе: на обращение со сточными водами; на охрану атмосферного воздуха и предотвращение изменения климата; на защиту и экологическую реабилитацию земель, поверхностных и подземных водных объектов; на обращение с отходами; на снижение шумового и вибрационного воздействия; на сохранение биоразнообразия и охрану природных территорий; на другие направления деятельности в области охраны окружающей среды</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капитальных затрат используются данные формы федерального статистического наблюдения № 18-КС "Сведения об инвестициях в основной капитал, направленных на охрану окружающей среды и рациональное использование природных ресурсов", утвержденной приказом Росстата от 31 июля 2023 г. № 359 "Об утверждении форм федерального статистического наблюдения для организации федерального статистического наблюдения за строительством, инвестициями в нефинансовые активы и жилищно-коммунальным хозяйством" (номера строк 3, 19, 28, 46, 57, 60 и 67 графы 2). Информация раскрывается организациями, являющимися респондентами указанной формы № 18-КС</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18.</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Наличие у организации сертификации системы энергетического менеджмента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да или нет</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в соответствии с </w:t>
            </w:r>
            <w:hyperlink r:id="rId37" w:anchor="10195" w:history="1">
              <w:r w:rsidRPr="00030556">
                <w:rPr>
                  <w:rFonts w:ascii="Times New Roman" w:eastAsia="Times New Roman" w:hAnsi="Times New Roman" w:cs="Times New Roman"/>
                  <w:color w:val="6C757D"/>
                  <w:sz w:val="24"/>
                  <w:szCs w:val="24"/>
                  <w:u w:val="single"/>
                  <w:lang w:eastAsia="ru-RU"/>
                </w:rPr>
                <w:t>подпунктом "д" пункта 19</w:t>
              </w:r>
            </w:hyperlink>
            <w:r w:rsidRPr="00030556">
              <w:rPr>
                <w:rFonts w:ascii="Times New Roman" w:eastAsia="Times New Roman" w:hAnsi="Times New Roman" w:cs="Times New Roman"/>
                <w:color w:val="000000"/>
                <w:sz w:val="24"/>
                <w:szCs w:val="24"/>
                <w:lang w:eastAsia="ru-RU"/>
              </w:rPr>
              <w:t> стандарта общественного капитала бизнеса, утвержденного </w:t>
            </w:r>
            <w:hyperlink r:id="rId38" w:anchor="0" w:history="1">
              <w:r w:rsidRPr="00030556">
                <w:rPr>
                  <w:rFonts w:ascii="Times New Roman" w:eastAsia="Times New Roman" w:hAnsi="Times New Roman" w:cs="Times New Roman"/>
                  <w:color w:val="6C757D"/>
                  <w:sz w:val="24"/>
                  <w:szCs w:val="24"/>
                  <w:u w:val="single"/>
                  <w:lang w:eastAsia="ru-RU"/>
                </w:rPr>
                <w:t>постановлением</w:t>
              </w:r>
            </w:hyperlink>
            <w:r w:rsidRPr="00030556">
              <w:rPr>
                <w:rFonts w:ascii="Times New Roman" w:eastAsia="Times New Roman" w:hAnsi="Times New Roman" w:cs="Times New Roman"/>
                <w:color w:val="000000"/>
                <w:sz w:val="24"/>
                <w:szCs w:val="24"/>
                <w:lang w:eastAsia="ru-RU"/>
              </w:rPr>
              <w:t> Правительства Российской Федерации от 30 декабря 2025 г. № 2230 "О стандарте общественного капитала бизнеса", необходимо выбрать вариант ответа "да" или "нет"</w:t>
            </w:r>
          </w:p>
        </w:tc>
      </w:tr>
      <w:tr w:rsidR="00030556" w:rsidRPr="00030556" w:rsidTr="00030556">
        <w:tc>
          <w:tcPr>
            <w:tcW w:w="13843" w:type="dxa"/>
            <w:gridSpan w:val="4"/>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II. Социальные показатели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19.</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на оплату труда, всего</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источником формирования данных являются данные бухгалтерского и (или) статистического учета. В частности, организации руководствуются указаниями по заполнению формы федерального статистического наблюдения № 1-Т "Сведения о численности и заработной плате работников" (строка 1 графы 5), утвержденной приказом Росстата от 31 июля 2024 г. № 338 "Об утверждении форм федерального статистического наблюдения для организации федерального статистического наблюдения за численностью и оплатой труда работников организаций, кадров государственной гражданской и муниципальной службы, условиями труда, движением работников, занятостью населения, численностью и потребностью организаций в работниках по профессиональным группам, численностью и заработной платой работников по категориям в организациях социальной сферы и науки" (далее - форма № 1-Т)</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20.</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Отношение средней заработной платы в организации к среднему уровню заработной платы в регионе</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средний уровень ежемесячной заработной платы среди всех работников организации, за исключением руководителей, к среднему уровню заработной платы в субъекте Российской Федерации, в котором организация осуществляет деятельность. Для определения среднего уровня заработной платы в субъекте Российской Федерации - месте осуществления деятельности следует руководствоваться ежемесячной официальной статистической информацией по показателю "Среднемесячная номинальная начисленная заработная плата", формируемой в рамках позиции 1.30.1 "Численность и начисленная заработная плата работников организаций" Федерального плана статистических работ, утвержденного распоряжением Правительства Российской Федерации от 6 мая 2008 г. № 671-р</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21.</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Среднесписочная численность работников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человек</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организации руководствуются, в частности, указаниями по заполнению формы № 1-Т</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22.</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Расходы на </w:t>
            </w:r>
            <w:proofErr w:type="spellStart"/>
            <w:r w:rsidRPr="00030556">
              <w:rPr>
                <w:rFonts w:ascii="Times New Roman" w:eastAsia="Times New Roman" w:hAnsi="Times New Roman" w:cs="Times New Roman"/>
                <w:color w:val="000000"/>
                <w:sz w:val="24"/>
                <w:szCs w:val="24"/>
                <w:lang w:eastAsia="ru-RU"/>
              </w:rPr>
              <w:t>реинтеграцию</w:t>
            </w:r>
            <w:proofErr w:type="spellEnd"/>
            <w:r w:rsidRPr="00030556">
              <w:rPr>
                <w:rFonts w:ascii="Times New Roman" w:eastAsia="Times New Roman" w:hAnsi="Times New Roman" w:cs="Times New Roman"/>
                <w:color w:val="000000"/>
                <w:sz w:val="24"/>
                <w:szCs w:val="24"/>
                <w:lang w:eastAsia="ru-RU"/>
              </w:rPr>
              <w:t xml:space="preserve"> (профессиональную реабилитацию) работников, получивших статус инвалидов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расходы определяются по данным бухгалтерского учета. Профессиональная реабилитация и соответствующие виды мероприятий определяются в соответствии с Концепцией по повышению уровня занятости инвалидов в Российской </w:t>
            </w:r>
            <w:r w:rsidRPr="00030556">
              <w:rPr>
                <w:rFonts w:ascii="Times New Roman" w:eastAsia="Times New Roman" w:hAnsi="Times New Roman" w:cs="Times New Roman"/>
                <w:color w:val="000000"/>
                <w:sz w:val="24"/>
                <w:szCs w:val="24"/>
                <w:lang w:eastAsia="ru-RU"/>
              </w:rPr>
              <w:lastRenderedPageBreak/>
              <w:t>Федерации на период до 2030 года и планом мероприятий по реализации Концепции по повышению уровня занятости инвалидов в Российской Федерации на период до 2030 года, утвержденными распоряжением Правительства Российской Федерации от 2 сентября 2024 г. № 2401-р, и Федеральным законом "О социальной защите инвалидов в Российской Федерации"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23.</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работников-инвалидов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числа работников, признанных в соответствии с Федеральным законом "О социальной защите инвалидов в Российской Федерации" инвалидами, к среднесписочной численности работников организации, за исключением работников, условия труда на рабочих местах которых отнесены по результатам специальной оценки условий труда к вредным или опасным условиям труда</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24.</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работников, относящихся в соответствии с Федеральным законом "О ветеранах" к следующим категориям ветеранов: ветераны Великой Отечественной войны; ветераны боевых действий на территории СССР, на территории Российской Федерации и территориях других государств; ветераны военной службы</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числа работников, относящихся в соответствии с Федеральным законом "О ветеранах" к ветеранам Великой Отечественной войны, ветеранам боевых действий на территории СССР, на территории Российской Федерации и территориях других государств, ветеранам военной службы, к среднесписочной численности работников организации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25.</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работников с указанием распределения по каждой из следующих категорий: пол; возрастная группа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количества работников соответствующей категории к среднесписочной численности персонала за отчетный период. При расчете показателя выделяются следующие возрастные группы: до 30 лет; 30 - 50 лет; старше 50 лет</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26.</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Средняя заработная плата, всего, в том числе: по группам занятий (отдельно по руководителям и отдельно по иному персоналу); по полу с учетом групп занятий; по возрастным группам</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организация руководствуется Положением об особенностях порядка исчисления средней заработной платы, утвержденным постановлением Правительства Российской Федерации от 24 апреля 2025 г. № 540 "Об особенностях порядка исчисления средней заработной платы", Общероссийским классификатором занятий, введенным в действие 7 января 2015 г. приказом </w:t>
            </w:r>
            <w:proofErr w:type="spellStart"/>
            <w:r w:rsidRPr="00030556">
              <w:rPr>
                <w:rFonts w:ascii="Times New Roman" w:eastAsia="Times New Roman" w:hAnsi="Times New Roman" w:cs="Times New Roman"/>
                <w:color w:val="000000"/>
                <w:sz w:val="24"/>
                <w:szCs w:val="24"/>
                <w:lang w:eastAsia="ru-RU"/>
              </w:rPr>
              <w:t>Росстандарта</w:t>
            </w:r>
            <w:proofErr w:type="spellEnd"/>
            <w:r w:rsidRPr="00030556">
              <w:rPr>
                <w:rFonts w:ascii="Times New Roman" w:eastAsia="Times New Roman" w:hAnsi="Times New Roman" w:cs="Times New Roman"/>
                <w:color w:val="000000"/>
                <w:sz w:val="24"/>
                <w:szCs w:val="24"/>
                <w:lang w:eastAsia="ru-RU"/>
              </w:rPr>
              <w:t xml:space="preserve"> от 12 </w:t>
            </w:r>
            <w:r w:rsidRPr="00030556">
              <w:rPr>
                <w:rFonts w:ascii="Times New Roman" w:eastAsia="Times New Roman" w:hAnsi="Times New Roman" w:cs="Times New Roman"/>
                <w:color w:val="000000"/>
                <w:sz w:val="24"/>
                <w:szCs w:val="24"/>
                <w:lang w:eastAsia="ru-RU"/>
              </w:rPr>
              <w:lastRenderedPageBreak/>
              <w:t>декабря 2014 г. № 2020-ст, а также указаниями по заполнению формы № 1-Т. При расчете выделяются следующие возрастные группы: до 30 лет; 30 - 50 лет; старше 50 лет</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27.</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на мероприятия по охране труда и промышленную безопасность, всего, в том числе в среднем на одного работника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расходами на охрану труда и промышленную безопасность являются расходы: на реализацию мер по управлению профессиональными рисками; на разработку цифровых (технологических) решений для обеспечения безопасности на объектах промышленности; на обучение по охране труда. При расчете необходимо учитывать мероприятия, выходящие за рамки законодательно установленных требований. Организация руководствуется указаниями по заполнению формы федерального статистического наблюдения № 7-травматизм "Сведения о травматизме на производстве и профессиональных заболеваниях", утвержденной приказом Росстата от 31 июля 2023 г. № 361 "Об утверждении форм федерального статистического наблюдения с указаниями по их заполнению для организации федерального статистического наблюдения в сфере здравоохранения, за травматизмом на производстве и профессиональными заболеваниями" (далее - форма № 7-травматизм) (номер строки 17)</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28.</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на организацию и проведение социальных, в том числе спортивных мероприятий для работников и членов их семей, всего, в том числе в среднем на одного работника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используются данные бухгалтерского учета</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29.</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Коэффициент частоты производственного травматизма персонала организации без учета персонала подрядчиков (LTIFR) на 1000000 человеко-часов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единиц на 1 млн. человеко-часов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организация руководствуется указаниями по заполнению формы № 7-травматизм (номер строки 01, номер строки 07). Информация раскрывается организациями, являющимися респондентами формы № 7-травматизм</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30.</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Количество смертельных случаев работников организации без учета персонала подрядчиков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единиц</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организация руководствуется указаниями по заполнению формы № 7-травматизм (номер строки 07). Информация раскрывается организациями, являющимися респондентами формы № 7-травматизм</w:t>
            </w: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31.</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 обучение работников, на одного работника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организация руководствуется указаниями по заполнению формы федерального статистического наблюдения № 1-предприятие "Основные сведения о деятельности организации", утвержденной приказом Росстата от 31 июля 2024 г. № 334 "Об утверждении форм федерального статистического наблюдения и указаний по их заполнению для организации федерального статистического наблюдения за деятельностью предприятий" (далее - форма № 1-предприятие) (номер строки 734 раздела 7 приложения № 3 к указанному приказу). Рассчитывается на основе среднесписочной численности работников. Рассчитывается также отношение расходов организации на обучение работников к общей сумме управленческих расходов организации. При расчете показателя могут использоваться в том числе данные формы № 1-предприятие</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организации на обучение работников к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32.</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Среднее количество часов обучения в год на одного работника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часов на человека</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количества часов обучения к среднесписочной численности работников организации за отчетный период</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33.</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работников, охваченных коллективным договором, к среднесписочной численности работников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числа работников, охваченных коллективным договором, к среднесписочной численности работников организации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34.</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Коэффициент текучести кадров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уволенных работников по собственному желанию и по соглашению сторон за отчетный период к среднесписочной численности работников организации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35.</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Расходы на участие в поддержке социальных программ, в том числе благотворительных программ, не направленных на работников и членов их семей, всего, в том числе в сфере: здравоохранения; образования и науки; спорта; культуры, искусства и туризма; создания доступной инфраструктуры и инклюзивной среды; благоустройства и развития комфортной городской </w:t>
            </w:r>
            <w:r w:rsidRPr="00030556">
              <w:rPr>
                <w:rFonts w:ascii="Times New Roman" w:eastAsia="Times New Roman" w:hAnsi="Times New Roman" w:cs="Times New Roman"/>
                <w:color w:val="000000"/>
                <w:sz w:val="24"/>
                <w:szCs w:val="24"/>
                <w:lang w:eastAsia="ru-RU"/>
              </w:rPr>
              <w:lastRenderedPageBreak/>
              <w:t>среды; создания и размещения социальной рекламы; обеспечения жильем; обеспечения общественной безопасности и антитеррористической защищенности объектов инфраструктуры; поддержки граждан, нуждающихся в социальной помощи, в том числе в сфере поддержки лиц, относящихся в соответствии с Федеральным законом "О ветеранах" к следующим категориям ветеранов: ветераны Великой Отечественной войны, ветераны боевых действий на территории СССР, на территории Российской Федерации и территориях других государств; ветераны военной службы</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учитываются все произведенные организацией за отчетный период фактические расходы организации на поддержку различных социальных программ. Необходимо дополнительно указывать источник соответствующих расходов организации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36.</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на организацию и проведение медицинских мероприятий для работников и членов их семей, всего, в том числе в среднем на одного работника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используются в том числе данные формы № 1-предприятие</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37.</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работников, принимающих участие в проектах корпоративного добровольчества (</w:t>
            </w:r>
            <w:proofErr w:type="spellStart"/>
            <w:r w:rsidRPr="00030556">
              <w:rPr>
                <w:rFonts w:ascii="Times New Roman" w:eastAsia="Times New Roman" w:hAnsi="Times New Roman" w:cs="Times New Roman"/>
                <w:color w:val="000000"/>
                <w:sz w:val="24"/>
                <w:szCs w:val="24"/>
                <w:lang w:eastAsia="ru-RU"/>
              </w:rPr>
              <w:t>волонтерства</w:t>
            </w:r>
            <w:proofErr w:type="spellEnd"/>
            <w:r w:rsidRPr="00030556">
              <w:rPr>
                <w:rFonts w:ascii="Times New Roman" w:eastAsia="Times New Roman" w:hAnsi="Times New Roman" w:cs="Times New Roman"/>
                <w:color w:val="000000"/>
                <w:sz w:val="24"/>
                <w:szCs w:val="24"/>
                <w:lang w:eastAsia="ru-RU"/>
              </w:rPr>
              <w:t>), и общее количество проектов корпоративного добровольчества (</w:t>
            </w:r>
            <w:proofErr w:type="spellStart"/>
            <w:r w:rsidRPr="00030556">
              <w:rPr>
                <w:rFonts w:ascii="Times New Roman" w:eastAsia="Times New Roman" w:hAnsi="Times New Roman" w:cs="Times New Roman"/>
                <w:color w:val="000000"/>
                <w:sz w:val="24"/>
                <w:szCs w:val="24"/>
                <w:lang w:eastAsia="ru-RU"/>
              </w:rPr>
              <w:t>волонтерства</w:t>
            </w:r>
            <w:proofErr w:type="spellEnd"/>
            <w:r w:rsidRPr="00030556">
              <w:rPr>
                <w:rFonts w:ascii="Times New Roman" w:eastAsia="Times New Roman" w:hAnsi="Times New Roman" w:cs="Times New Roman"/>
                <w:color w:val="000000"/>
                <w:sz w:val="24"/>
                <w:szCs w:val="24"/>
                <w:lang w:eastAsia="ru-RU"/>
              </w:rPr>
              <w:t>)</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количества работников, принимающих участие в проектах корпоративного добровольчества (</w:t>
            </w:r>
            <w:proofErr w:type="spellStart"/>
            <w:r w:rsidRPr="00030556">
              <w:rPr>
                <w:rFonts w:ascii="Times New Roman" w:eastAsia="Times New Roman" w:hAnsi="Times New Roman" w:cs="Times New Roman"/>
                <w:color w:val="000000"/>
                <w:sz w:val="24"/>
                <w:szCs w:val="24"/>
                <w:lang w:eastAsia="ru-RU"/>
              </w:rPr>
              <w:t>волонтерства</w:t>
            </w:r>
            <w:proofErr w:type="spellEnd"/>
            <w:r w:rsidRPr="00030556">
              <w:rPr>
                <w:rFonts w:ascii="Times New Roman" w:eastAsia="Times New Roman" w:hAnsi="Times New Roman" w:cs="Times New Roman"/>
                <w:color w:val="000000"/>
                <w:sz w:val="24"/>
                <w:szCs w:val="24"/>
                <w:lang w:eastAsia="ru-RU"/>
              </w:rPr>
              <w:t>), в отчетном периоде к среднесписочной численности работников организации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38.</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Наложенные на организацию штрафы и меры ответственности в связи с нарушением трудового законодательства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организация руководствуется положениями трудового законодательства и иных актов, содержащих нормы трудового права, а также данными бухгалтерского учета. Организация указывает не только информацию о сумме штрафов, но и информацию о перечне таких штрафов и мер ответственности, органе, их наложившем, предпринятых организацией мерах по недопущению нарушений в будущем</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39.</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Среднее число детей в возрасте до 6 лет на одного сотрудника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отношение числа детей в возрасте до 6 лет у работников к среднесписочной численности работников организации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40.</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Среднее число детей на одного работника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отношение числа детей (у всех работников) к среднесписочной численности работников</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41.</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многодетных родителей от общего числа сотрудников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отношение числа работников - многодетных родителей к среднесписочной численности работников</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42.</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работников, состоящих в зарегистрированном браке</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отношение числа работников, состоящих в зарегистрированном браке, к среднесписочной численности работников</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43.</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Размер единовременной выплаты (в том числе в виде материальной помощи), осуществляемой работникам при рождении ребенка, выплачиваемой в течение первого года после рождения ребенка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используются данные бухгалтерского учета</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44.</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Наличие у организации системы менеджмента безопасности труда и охраны здоровья</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да или нет</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в соответствии с </w:t>
            </w:r>
            <w:hyperlink r:id="rId39" w:anchor="10195" w:history="1">
              <w:r w:rsidRPr="00030556">
                <w:rPr>
                  <w:rFonts w:ascii="Times New Roman" w:eastAsia="Times New Roman" w:hAnsi="Times New Roman" w:cs="Times New Roman"/>
                  <w:color w:val="6C757D"/>
                  <w:sz w:val="24"/>
                  <w:szCs w:val="24"/>
                  <w:u w:val="single"/>
                  <w:lang w:eastAsia="ru-RU"/>
                </w:rPr>
                <w:t>подпунктом "д" пункта 19</w:t>
              </w:r>
            </w:hyperlink>
            <w:r w:rsidRPr="00030556">
              <w:rPr>
                <w:rFonts w:ascii="Times New Roman" w:eastAsia="Times New Roman" w:hAnsi="Times New Roman" w:cs="Times New Roman"/>
                <w:color w:val="000000"/>
                <w:sz w:val="24"/>
                <w:szCs w:val="24"/>
                <w:lang w:eastAsia="ru-RU"/>
              </w:rPr>
              <w:t> стандарта общественного капитала бизнеса, утвержденного </w:t>
            </w:r>
            <w:hyperlink r:id="rId40" w:anchor="0" w:history="1">
              <w:r w:rsidRPr="00030556">
                <w:rPr>
                  <w:rFonts w:ascii="Times New Roman" w:eastAsia="Times New Roman" w:hAnsi="Times New Roman" w:cs="Times New Roman"/>
                  <w:color w:val="6C757D"/>
                  <w:sz w:val="24"/>
                  <w:szCs w:val="24"/>
                  <w:u w:val="single"/>
                  <w:lang w:eastAsia="ru-RU"/>
                </w:rPr>
                <w:t>постановлением</w:t>
              </w:r>
            </w:hyperlink>
            <w:r w:rsidRPr="00030556">
              <w:rPr>
                <w:rFonts w:ascii="Times New Roman" w:eastAsia="Times New Roman" w:hAnsi="Times New Roman" w:cs="Times New Roman"/>
                <w:color w:val="000000"/>
                <w:sz w:val="24"/>
                <w:szCs w:val="24"/>
                <w:lang w:eastAsia="ru-RU"/>
              </w:rPr>
              <w:t> Правительства Российской Федерации от 30 декабря 2025 г. № 2230 "О стандарте общественного капитала бизнеса", указывается ответ "да" или "нет"</w:t>
            </w:r>
          </w:p>
        </w:tc>
      </w:tr>
      <w:tr w:rsidR="00030556" w:rsidRPr="00030556" w:rsidTr="00030556">
        <w:tc>
          <w:tcPr>
            <w:tcW w:w="13843" w:type="dxa"/>
            <w:gridSpan w:val="4"/>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III. Управленческие показатели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45.</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Наличие политики по устойчивому развитию и (или) иных стратегических документов в этой сфере (стратегия в области устойчивого развития, экологическая стратегия, стратегия реализации оперативных и долгосрочных мер по адаптации к изменениям климата и смягчению антропогенного воздействия на климат - климатическая стратегия)</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да или нет</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указывается ответ "да" или "нет". В отчетности об устойчивом развитии необходимо указать наименования имеющихся документов в этой сфере. В части раскрытия информации о климатических рисках представляются описание климатических рисков и возможностей, которые организация идентифицирует в краткосрочной, среднесрочной и долгосрочной перспективе, оценка их влияния на бизнес, стратегию и финансовое планирование компании, а также сценарный анализ устойчивости климатической стратегии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46.</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Наличие органа управления или комитета, созданных при коллегиальном органе управления </w:t>
            </w:r>
            <w:r w:rsidRPr="00030556">
              <w:rPr>
                <w:rFonts w:ascii="Times New Roman" w:eastAsia="Times New Roman" w:hAnsi="Times New Roman" w:cs="Times New Roman"/>
                <w:color w:val="000000"/>
                <w:sz w:val="24"/>
                <w:szCs w:val="24"/>
                <w:lang w:eastAsia="ru-RU"/>
              </w:rPr>
              <w:lastRenderedPageBreak/>
              <w:t>организации, ответственных за утверждение и контроль реализации политики по устойчивому развитию и (или) иных стратегических документов в этой сфере (</w:t>
            </w:r>
            <w:proofErr w:type="gramStart"/>
            <w:r w:rsidRPr="00030556">
              <w:rPr>
                <w:rFonts w:ascii="Times New Roman" w:eastAsia="Times New Roman" w:hAnsi="Times New Roman" w:cs="Times New Roman"/>
                <w:color w:val="000000"/>
                <w:sz w:val="24"/>
                <w:szCs w:val="24"/>
                <w:lang w:eastAsia="ru-RU"/>
              </w:rPr>
              <w:t>например</w:t>
            </w:r>
            <w:proofErr w:type="gramEnd"/>
            <w:r w:rsidRPr="00030556">
              <w:rPr>
                <w:rFonts w:ascii="Times New Roman" w:eastAsia="Times New Roman" w:hAnsi="Times New Roman" w:cs="Times New Roman"/>
                <w:color w:val="000000"/>
                <w:sz w:val="24"/>
                <w:szCs w:val="24"/>
                <w:lang w:eastAsia="ru-RU"/>
              </w:rPr>
              <w:t xml:space="preserve"> стратегии в области устойчивого развития, климатической стратегии)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да или нет</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указывается ответ "да" или "нет". В отчетности об устойчивом развитии указывается название соответствующего органа </w:t>
            </w:r>
            <w:r w:rsidRPr="00030556">
              <w:rPr>
                <w:rFonts w:ascii="Times New Roman" w:eastAsia="Times New Roman" w:hAnsi="Times New Roman" w:cs="Times New Roman"/>
                <w:color w:val="000000"/>
                <w:sz w:val="24"/>
                <w:szCs w:val="24"/>
                <w:lang w:eastAsia="ru-RU"/>
              </w:rPr>
              <w:lastRenderedPageBreak/>
              <w:t>управления или комитета, созданных при коллегиальном органе управления организации (при наличии)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47.</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Отражение в политике вознаграждения организации учета целевых показателей, связанных с устойчивым развитием и климатом, в целях определения размера вознаграждения ее руководящего состава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да или нет</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указывается ответ "да" или "нет"</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48.</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независимых директоров в составе коллегиального органа управления</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количества независимых директоров к общему количеству членов коллегиального органа управления организации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49.</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женщин-руководителей в общей численности руководителей, всего, в том числе в коллегиальных органах управления</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при расчете может использоваться Общероссийский классификатор занятий, введенный в действие 7 января 2015 г. приказом </w:t>
            </w:r>
            <w:proofErr w:type="spellStart"/>
            <w:r w:rsidRPr="00030556">
              <w:rPr>
                <w:rFonts w:ascii="Times New Roman" w:eastAsia="Times New Roman" w:hAnsi="Times New Roman" w:cs="Times New Roman"/>
                <w:color w:val="000000"/>
                <w:sz w:val="24"/>
                <w:szCs w:val="24"/>
                <w:lang w:eastAsia="ru-RU"/>
              </w:rPr>
              <w:t>Росстандарта</w:t>
            </w:r>
            <w:proofErr w:type="spellEnd"/>
            <w:r w:rsidRPr="00030556">
              <w:rPr>
                <w:rFonts w:ascii="Times New Roman" w:eastAsia="Times New Roman" w:hAnsi="Times New Roman" w:cs="Times New Roman"/>
                <w:color w:val="000000"/>
                <w:sz w:val="24"/>
                <w:szCs w:val="24"/>
                <w:lang w:eastAsia="ru-RU"/>
              </w:rPr>
              <w:t xml:space="preserve"> от 12 декабря 2014 г. № 2020-ст</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50.</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Количество зафиксированных случаев нарушения прав коренных малочисленных народов Российской Федерации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единиц</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необходимо отразить количество зафиксированных случаев нарушений прав коренных малочисленных народов Российской Федерации на основании соответствующих судебных актов, вступивших в законную силу. При расчете следует руководствоваться в том числе положениями Федерального закона "О гарантиях прав коренных малочисленных народов Российской Федерации"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51.</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работников, замещающих должности с высоким коррупционным риском</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числа работников, замещающих должности с высоким коррупционным риском, к среднесписочной численности работников организации. При расчете необходимо руководствоваться положениями статей 13 и 13</w:t>
            </w:r>
            <w:r w:rsidRPr="00030556">
              <w:rPr>
                <w:rFonts w:ascii="Times New Roman" w:eastAsia="Times New Roman" w:hAnsi="Times New Roman" w:cs="Times New Roman"/>
                <w:color w:val="000000"/>
                <w:sz w:val="20"/>
                <w:szCs w:val="20"/>
                <w:vertAlign w:val="superscript"/>
                <w:lang w:eastAsia="ru-RU"/>
              </w:rPr>
              <w:t>3</w:t>
            </w:r>
            <w:r w:rsidRPr="00030556">
              <w:rPr>
                <w:rFonts w:ascii="Times New Roman" w:eastAsia="Times New Roman" w:hAnsi="Times New Roman" w:cs="Times New Roman"/>
                <w:color w:val="000000"/>
                <w:sz w:val="24"/>
                <w:szCs w:val="24"/>
                <w:lang w:eastAsia="ru-RU"/>
              </w:rPr>
              <w:t xml:space="preserve"> Федерального закона "О противодействии коррупции", а также методическими рекомендациями по разработке и принятию организациями мер по предупреждению и противодействию коррупции (размещены </w:t>
            </w:r>
            <w:r w:rsidRPr="00030556">
              <w:rPr>
                <w:rFonts w:ascii="Times New Roman" w:eastAsia="Times New Roman" w:hAnsi="Times New Roman" w:cs="Times New Roman"/>
                <w:color w:val="000000"/>
                <w:sz w:val="24"/>
                <w:szCs w:val="24"/>
                <w:lang w:eastAsia="ru-RU"/>
              </w:rPr>
              <w:lastRenderedPageBreak/>
              <w:t>на официальном сайте Минтруда России в информационно-телекоммуникационной сети "Интернет")</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52.</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Среднее количество часов обучения по вопросам противодействия коррупции на одного работника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единиц</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общего количества часов обучения по вопросам противодействия коррупции за отчетный период к среднесписочной численности работников</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53.</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Наличие политики по управлению рисками, в том числе климатическими, и (или) иных документов по управлению рисками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да или нет</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указывается ответ "да" или "нет". В отчетности об устойчивом развитии рекомендуется указать наименование данного документа (документов) в случае его наличия</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54.</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Количество случаев привлечения к ответственности в соответствии с законодательством Российской Федерации за нарушение прав потребителей</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единиц</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отражается количество случаев привлечения организации к ответственности за нарушение прав потребителей на основании актов уполномоченных органов и (или) вступивших в силу судебных актов</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55.</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Количество зафиксированных социально значимых инцидентов (забастовок)</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единиц</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отражаются случаи социально значимых инцидентов на основании принятых в соответствии с Трудовым кодексом Российской Федерации решений об объявлении забастовки и проведенных в соответствии с Федеральным законом "О собраниях, митингах, демонстрациях, шествиях и пикетированиях" публичных мероприятиях, а также зафиксированных на основании актов уполномоченных органов</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56.</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Наличие политики и (или) иных документов, предусматривающих применение принципов инклюзии в деятельности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да или нет</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указывается ответ "да" или "нет". В отчетности указывается наименование документа или документов (при их наличии), предусматривающих применение принципов инклюзии в деятельности организации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57.</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Наличие у организации письменно зафиксированных обязательств комплексно осуществить деятельность в сфере инклюзии: обеспечение доступности собственных территорий, помещений и услуг для людей с инвалидностью; проведение просветительских и образовательных программ для персонала в сфере инклюзии; внедрение технических </w:t>
            </w:r>
            <w:r w:rsidRPr="00030556">
              <w:rPr>
                <w:rFonts w:ascii="Times New Roman" w:eastAsia="Times New Roman" w:hAnsi="Times New Roman" w:cs="Times New Roman"/>
                <w:color w:val="000000"/>
                <w:sz w:val="24"/>
                <w:szCs w:val="24"/>
                <w:lang w:eastAsia="ru-RU"/>
              </w:rPr>
              <w:lastRenderedPageBreak/>
              <w:t>решений для обеспечения доступности рабочих мест для людей с инвалидностью и создание рабочих мест для людей с инвалидностью с представлением ежеквартальной отчетности по исполнению указанных обязательств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да или нет</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указывается ответ "да" или "нет". В отчетности указывается наименование документа или документов (при их наличии), в которых письменно зафиксированы обязательства комплексно осуществить деятельность в сфере инклюзии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58.</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Сумма заявленных требований по судебным спорам с участием эмитента в качестве ответчика: по делам о предъявлении требований к действующему или бывшему членам органов управления эмитента; по делам об оспаривании сделок по статьям 173</w:t>
            </w:r>
            <w:r w:rsidRPr="00030556">
              <w:rPr>
                <w:rFonts w:ascii="Times New Roman" w:eastAsia="Times New Roman" w:hAnsi="Times New Roman" w:cs="Times New Roman"/>
                <w:color w:val="000000"/>
                <w:sz w:val="20"/>
                <w:szCs w:val="20"/>
                <w:vertAlign w:val="superscript"/>
                <w:lang w:eastAsia="ru-RU"/>
              </w:rPr>
              <w:t>1</w:t>
            </w:r>
            <w:r w:rsidRPr="00030556">
              <w:rPr>
                <w:rFonts w:ascii="Times New Roman" w:eastAsia="Times New Roman" w:hAnsi="Times New Roman" w:cs="Times New Roman"/>
                <w:color w:val="000000"/>
                <w:sz w:val="24"/>
                <w:szCs w:val="24"/>
                <w:lang w:eastAsia="ru-RU"/>
              </w:rPr>
              <w:t> и 174 Гражданского кодекса Российской Федерации; по делам об оспаривании решений органов управления эмитента, а также споров с участием эмитента в иных судебных делах, связанных с нарушением корпоративного законодательства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сумма заявленных требований по судебным спорам указывается накопительным итогом (до разрешения споров) на конец отчетного периода. При расчете учитываются только требования, связанные с деятельностью эмитента</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59.</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Сумма удовлетворенных требований по судебным спорам с участием эмитента в качестве ответчика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сумма удовлетворенных требований по судебным спорам указывается накопительным итогом (после разрешения споров) на конец отчетного периода. При расчете учитываются только требования, связанные с деятельностью эмитента</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60.</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Сумма штрафов, наложенных на организацию и должностных лиц в связи с нарушением требований законодательства Российской Федерации об акционерных обществах и ценных бумагах, в сфере корпоративных отношений в акционерных обществах</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организация руководствуется постановлениями по делам об административных правонарушениях, в соответствии с которыми она привлекается к административной ответственности с назначением административного штрафа в виде административного наказания, приговорами суда о привлечении должностных лиц к ответственности за нарушение законодательства о рынке ценных бумаг и (или) корпоративного законодательства</w:t>
            </w:r>
          </w:p>
        </w:tc>
      </w:tr>
      <w:tr w:rsidR="00030556" w:rsidRPr="00030556" w:rsidTr="00030556">
        <w:tc>
          <w:tcPr>
            <w:tcW w:w="13843" w:type="dxa"/>
            <w:gridSpan w:val="4"/>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IV. Экономические показатели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61.</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Выручка (показатель, аналогичный выручке)</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определяется на основании данных консолидированной финансовой отчетности (в случае обязательности ее составления) или бухгалтерской (финансовой) отчетности. Для кредитных организаций рассчитывается как сумма процентного дохода и комиссионного дохода на основании данных отчета о финансовых результатах кредитной организации согласно указанию Центрального банка Российской Федерации от 10 апреля 2023 г. № 6406-У "О формах, сроках, порядке составления и представления отчетности кредитных организаций (банковских групп) в Центральный банк Российской Федерации, а также о перечне информации о деятельности кредитных организаций (банковских групп)". Для страховых организаций показатель рассчитывается как сумма страховых премий по операциям страхования, </w:t>
            </w:r>
            <w:proofErr w:type="spellStart"/>
            <w:r w:rsidRPr="00030556">
              <w:rPr>
                <w:rFonts w:ascii="Times New Roman" w:eastAsia="Times New Roman" w:hAnsi="Times New Roman" w:cs="Times New Roman"/>
                <w:color w:val="000000"/>
                <w:sz w:val="24"/>
                <w:szCs w:val="24"/>
                <w:lang w:eastAsia="ru-RU"/>
              </w:rPr>
              <w:t>сострахования</w:t>
            </w:r>
            <w:proofErr w:type="spellEnd"/>
            <w:r w:rsidRPr="00030556">
              <w:rPr>
                <w:rFonts w:ascii="Times New Roman" w:eastAsia="Times New Roman" w:hAnsi="Times New Roman" w:cs="Times New Roman"/>
                <w:color w:val="000000"/>
                <w:sz w:val="24"/>
                <w:szCs w:val="24"/>
                <w:lang w:eastAsia="ru-RU"/>
              </w:rPr>
              <w:t xml:space="preserve"> и перестрахования на основании данных отчета о финансовых результатах страховой организации (код формы по ОКУД № 0420126) согласно указанию Центрального банка Российской Федерации от 9 января 2025 г. № 6985-У "О порядке и сроках представления (предоставления) в Банк России бухгалтерской (финансовой) отчетности, информации, содержащей показатели бухгалтерской (финансовой) отчетности, аудиторского заключения о годовой бухгалтерской (финансовой) отчетности и актуарного заключения отдельных </w:t>
            </w:r>
            <w:proofErr w:type="spellStart"/>
            <w:r w:rsidRPr="00030556">
              <w:rPr>
                <w:rFonts w:ascii="Times New Roman" w:eastAsia="Times New Roman" w:hAnsi="Times New Roman" w:cs="Times New Roman"/>
                <w:color w:val="000000"/>
                <w:sz w:val="24"/>
                <w:szCs w:val="24"/>
                <w:lang w:eastAsia="ru-RU"/>
              </w:rPr>
              <w:t>некредитных</w:t>
            </w:r>
            <w:proofErr w:type="spellEnd"/>
            <w:r w:rsidRPr="00030556">
              <w:rPr>
                <w:rFonts w:ascii="Times New Roman" w:eastAsia="Times New Roman" w:hAnsi="Times New Roman" w:cs="Times New Roman"/>
                <w:color w:val="000000"/>
                <w:sz w:val="24"/>
                <w:szCs w:val="24"/>
                <w:lang w:eastAsia="ru-RU"/>
              </w:rPr>
              <w:t xml:space="preserve"> финансовых организаций, кредитных рейтинговых агентств и бюро кредитных историй"</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62.</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Производительность труда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на человека</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предлагается руководствоваться приказом Минэкономразвития России от 18 августа 2025 г. № 529 "Об утверждении методики расчета показателя "Доля предприятий, достигших ежегодного 5%-</w:t>
            </w:r>
            <w:proofErr w:type="spellStart"/>
            <w:r w:rsidRPr="00030556">
              <w:rPr>
                <w:rFonts w:ascii="Times New Roman" w:eastAsia="Times New Roman" w:hAnsi="Times New Roman" w:cs="Times New Roman"/>
                <w:color w:val="000000"/>
                <w:sz w:val="24"/>
                <w:szCs w:val="24"/>
                <w:lang w:eastAsia="ru-RU"/>
              </w:rPr>
              <w:t>ного</w:t>
            </w:r>
            <w:proofErr w:type="spellEnd"/>
            <w:r w:rsidRPr="00030556">
              <w:rPr>
                <w:rFonts w:ascii="Times New Roman" w:eastAsia="Times New Roman" w:hAnsi="Times New Roman" w:cs="Times New Roman"/>
                <w:color w:val="000000"/>
                <w:sz w:val="24"/>
                <w:szCs w:val="24"/>
                <w:lang w:eastAsia="ru-RU"/>
              </w:rPr>
              <w:t xml:space="preserve"> прироста производительности труда на предприятиях - участниках, внедряющих мероприятия по повышению производительности труда под федеральным и региональным управлением"</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63.</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Сумма начисленных обязательных платежей (за исключением штрафов, пеней), всего, в том числе: налогов и сборов; страховых взносов; иных обязательных платежей</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организация руководствуется положениями главы 8 Налогового кодекса Российской Федерации, а также данными бухгалтерского учета и налоговой отчетности. К иным обязательным платежам относятся, например, платежи за пользование недрами, платежи на пользование природными ресурсами континентального шельфа, платежи при выполнении соглашений о разделе продукции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64.</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Сумма уплаченных обязательных платежей (за исключением штрафов, пеней), всего, в том числе: налогов и сборов; страховых взносов; иных обязательных платежей</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организация руководствуется положениями глав 8 и 26</w:t>
            </w:r>
            <w:r w:rsidRPr="00030556">
              <w:rPr>
                <w:rFonts w:ascii="Times New Roman" w:eastAsia="Times New Roman" w:hAnsi="Times New Roman" w:cs="Times New Roman"/>
                <w:color w:val="000000"/>
                <w:sz w:val="20"/>
                <w:szCs w:val="20"/>
                <w:vertAlign w:val="superscript"/>
                <w:lang w:eastAsia="ru-RU"/>
              </w:rPr>
              <w:t>4</w:t>
            </w:r>
            <w:r w:rsidRPr="00030556">
              <w:rPr>
                <w:rFonts w:ascii="Times New Roman" w:eastAsia="Times New Roman" w:hAnsi="Times New Roman" w:cs="Times New Roman"/>
                <w:color w:val="000000"/>
                <w:sz w:val="24"/>
                <w:szCs w:val="24"/>
                <w:lang w:eastAsia="ru-RU"/>
              </w:rPr>
              <w:t> Налогового кодекса Российской Федерации, Федерального закона "О континентальном шельфе Российской Федерации", Закона Российской Федерации "О недрах", а также данными бухгалтерского учета и налоговой отчетности. К иным обязательным платежам относятся, например, платежи за пользование недрами, платежи на пользование природными ресурсами континентального шельфа, платежи при выполнении соглашений о разделе продукции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65.</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закупок российских товаров, работ, услуг в общем объеме закупок товаров, работ, услуг</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используются данные бухгалтерского учета. Показатель рассчитывается как отношение суммы осуществляемых организацией закупок товаров российского происхождения, работ, услуг, выполняемых, оказываемых российскими лицами, к сумме общего объема закупок товаров, работ, услуг организацией за отчетный период</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66.</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закупок товаров, работ, услуг у субъектов малого и среднего предпринимательства в общем объеме закупок у российских организаций</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суммы осуществляемых организацией закупок товаров, работ, услуг у субъектов малого и среднего предпринимательства с учетом требований статьи 3</w:t>
            </w:r>
            <w:r w:rsidRPr="00030556">
              <w:rPr>
                <w:rFonts w:ascii="Times New Roman" w:eastAsia="Times New Roman" w:hAnsi="Times New Roman" w:cs="Times New Roman"/>
                <w:color w:val="000000"/>
                <w:sz w:val="20"/>
                <w:szCs w:val="20"/>
                <w:vertAlign w:val="superscript"/>
                <w:lang w:eastAsia="ru-RU"/>
              </w:rPr>
              <w:t>4</w:t>
            </w:r>
            <w:r w:rsidRPr="00030556">
              <w:rPr>
                <w:rFonts w:ascii="Times New Roman" w:eastAsia="Times New Roman" w:hAnsi="Times New Roman" w:cs="Times New Roman"/>
                <w:color w:val="000000"/>
                <w:sz w:val="24"/>
                <w:szCs w:val="24"/>
                <w:lang w:eastAsia="ru-RU"/>
              </w:rPr>
              <w:t xml:space="preserve"> Федерального закона "О закупках товаров, работ, услуг отдельными видами юридических лиц" к сумме объема закупок товаров, работ, услуг организацией за отчетный период у российских организаций. При составлении организацией годового отчета о закупке товаров, работ, услуг отдельными видами юридических лиц у субъектов малого и среднего предпринимательства, формируемого в соответствии с постановлением Правительства Российской Федерации от 11 декабря 2014 г. № 1352 "Об особенностях участия субъектов малого и среднего предпринимательства в закупках товаров, </w:t>
            </w:r>
            <w:r w:rsidRPr="00030556">
              <w:rPr>
                <w:rFonts w:ascii="Times New Roman" w:eastAsia="Times New Roman" w:hAnsi="Times New Roman" w:cs="Times New Roman"/>
                <w:color w:val="000000"/>
                <w:sz w:val="24"/>
                <w:szCs w:val="24"/>
                <w:lang w:eastAsia="ru-RU"/>
              </w:rPr>
              <w:lastRenderedPageBreak/>
              <w:t>работ, услуг отдельными видами юридических лиц", используются данные такого отчета</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67.</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Объем устойчивых, в том числе зеленых, инвестиций и доля таких инвестиций в общем объеме инвестиций</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выделяются суммы зеленых инвестиций в социальные проекты, определенные в соответствии с требованиями постановления Правительства Российской Федерации от 21 сентября 2021 г. № 1587 "Об утверждении критериев проектов устойчивого (в том числе зеленого) развития в Российской Федерации и требований к системе верификации инструментов финансирования устойчивого развития в Российской Федерации", в том числе в разрезе соответствующих направлений таксономии. Доля таких инвестиций рассчитывается как отношение объема устойчивых, в том числе зеленых, инвестиций к общему объему инвестиций организации</w:t>
            </w: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68.</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Объем инвестиций в проекты, связанные с достижением технологического суверенитета и структурной адаптацией экономики Российской Федерации, и доля таких инвестиций в общем объеме инвестиций</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определении объема инвестиций необходимо выделять инвестиции в проекты технологического суверенитета и в проекты структурной адаптации экономики Российской Федерации, определенные постановлением Правительства Российской Федерации от 15 апреля 2023 г. № 603 "Об утверждении приоритетных направлений проектов технологического суверенитета и проектов структурной адаптации экономики Российской Федерации и Положения об условиях отнесения проектов к проектам технологического суверенитета и проектам структурной адаптации экономики Российской Федерации, о представлении сведений о проектах технологического суверенитета и проектах структурной адаптации экономики Российской Федерации и ведении реестра указанных проектов, а также о требованиях к организациям, уполномоченным представлять заключения о соответствии проектов требованиям к проектам технологического суверенитета и проектам структурной адаптации экономики Российской Федерации", в том числе в разрезе соответствующих направлений таксономии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Отношение инвестиций организации в проекты, связанные с достижением технологического суверенитета и структурной адаптацией экономики Российской Федерации, к общей сумме управленческих расходов организации</w:t>
            </w:r>
            <w:hyperlink r:id="rId41" w:anchor="2222" w:history="1">
              <w:r w:rsidRPr="00030556">
                <w:rPr>
                  <w:rFonts w:ascii="Times New Roman" w:eastAsia="Times New Roman" w:hAnsi="Times New Roman" w:cs="Times New Roman"/>
                  <w:color w:val="6C757D"/>
                  <w:sz w:val="20"/>
                  <w:szCs w:val="20"/>
                  <w:u w:val="single"/>
                  <w:vertAlign w:val="superscript"/>
                  <w:lang w:eastAsia="ru-RU"/>
                </w:rPr>
                <w:t>2</w:t>
              </w:r>
            </w:hyperlink>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69.</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Общее количество климатически уязвимых объектов, их доля в общем количестве объектов основных </w:t>
            </w:r>
            <w:r w:rsidRPr="00030556">
              <w:rPr>
                <w:rFonts w:ascii="Times New Roman" w:eastAsia="Times New Roman" w:hAnsi="Times New Roman" w:cs="Times New Roman"/>
                <w:color w:val="000000"/>
                <w:sz w:val="24"/>
                <w:szCs w:val="24"/>
                <w:lang w:eastAsia="ru-RU"/>
              </w:rPr>
              <w:lastRenderedPageBreak/>
              <w:t>средств, находящихся на балансе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штук</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при расчете следует руководствоваться Методическими рекомендациями по оценке возможного ущерба от воздействия климатических рисков, в том числе </w:t>
            </w:r>
            <w:r w:rsidRPr="00030556">
              <w:rPr>
                <w:rFonts w:ascii="Times New Roman" w:eastAsia="Times New Roman" w:hAnsi="Times New Roman" w:cs="Times New Roman"/>
                <w:color w:val="000000"/>
                <w:sz w:val="24"/>
                <w:szCs w:val="24"/>
                <w:lang w:eastAsia="ru-RU"/>
              </w:rPr>
              <w:lastRenderedPageBreak/>
              <w:t>рекомендациями по формированию перечня климатически уязвимых объектов в отраслях экономики, в субъектах Российской Федерации, утвержденными приказом Минэкономразвития России от 28 декабря 2023 г. № 927 "Об утверждении Методических рекомендаций по оценке возможного ущерба от воздействия климатических рисков, в том числе рекомендаций по формированию перечня климатически уязвимых объектов в отраслях экономики, в субъектах Российской Федерации и Методических рекомендаций по мониторингу и оценке эффективности и результативности мер по адаптации к изменениям климата" (далее - приказ № 927)</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70.</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объектов, для которых проведена количественная и (или) качественная оценка климатических рисков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стоимости объектов, для которых проведена количественная и (или) качественная оценка климатических рисков, к стоимости всех объектов организации. При расчете могут быть использованы данные бухгалтерского учета</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71.</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Эффективность мер по адаптации к изменению климата и (или) экономическая эффективность мер по адаптации к изменению климата, реализуемых в рамках корпоративных планов, стратегий или программ, нацеленных на адаптацию к изменению климата (при наличии)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следует руководствоваться Методическими рекомендациями по мониторингу и оценке эффективности и результативности мер по адаптации к изменениям климата, утвержденными приказом № 927</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72.</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Возможный ущерб от воздействия климатических рисков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следует руководствоваться Методическими рекомендациями по оценке возможного ущерба от воздействия климатических рисков, в том числе рекомендациями по формированию перечня климатически уязвимых объектов в отраслях экономики, в субъектах Российской Федерации, утвержденными приказом № 927    </w:t>
            </w:r>
          </w:p>
        </w:tc>
      </w:tr>
      <w:tr w:rsidR="00030556" w:rsidRPr="00030556" w:rsidTr="00030556">
        <w:tc>
          <w:tcPr>
            <w:tcW w:w="13843" w:type="dxa"/>
            <w:gridSpan w:val="4"/>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V. Деловая репутация</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73.</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Полученные рейтинги ответственного ведения бизнеса (ЭКГ-рейтинг (ESG-рейтинг), рейтинги устойчивого развития), включение организации в </w:t>
            </w:r>
            <w:r w:rsidRPr="00030556">
              <w:rPr>
                <w:rFonts w:ascii="Times New Roman" w:eastAsia="Times New Roman" w:hAnsi="Times New Roman" w:cs="Times New Roman"/>
                <w:color w:val="000000"/>
                <w:sz w:val="24"/>
                <w:szCs w:val="24"/>
                <w:lang w:eastAsia="ru-RU"/>
              </w:rPr>
              <w:lastRenderedPageBreak/>
              <w:t xml:space="preserve">индексы и (или) </w:t>
            </w:r>
            <w:proofErr w:type="spellStart"/>
            <w:r w:rsidRPr="00030556">
              <w:rPr>
                <w:rFonts w:ascii="Times New Roman" w:eastAsia="Times New Roman" w:hAnsi="Times New Roman" w:cs="Times New Roman"/>
                <w:color w:val="000000"/>
                <w:sz w:val="24"/>
                <w:szCs w:val="24"/>
                <w:lang w:eastAsia="ru-RU"/>
              </w:rPr>
              <w:t>рэнкинги</w:t>
            </w:r>
            <w:proofErr w:type="spellEnd"/>
            <w:r w:rsidRPr="00030556">
              <w:rPr>
                <w:rFonts w:ascii="Times New Roman" w:eastAsia="Times New Roman" w:hAnsi="Times New Roman" w:cs="Times New Roman"/>
                <w:color w:val="000000"/>
                <w:sz w:val="24"/>
                <w:szCs w:val="24"/>
                <w:lang w:eastAsia="ru-RU"/>
              </w:rPr>
              <w:t xml:space="preserve"> в сфере устойчивого развития и ответственного ведения бизнеса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да или нет</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указывается "да" или "нет", дата, а также значение присвоенного рейтинга (индекса, </w:t>
            </w:r>
            <w:proofErr w:type="spellStart"/>
            <w:r w:rsidRPr="00030556">
              <w:rPr>
                <w:rFonts w:ascii="Times New Roman" w:eastAsia="Times New Roman" w:hAnsi="Times New Roman" w:cs="Times New Roman"/>
                <w:color w:val="000000"/>
                <w:sz w:val="24"/>
                <w:szCs w:val="24"/>
                <w:lang w:eastAsia="ru-RU"/>
              </w:rPr>
              <w:t>рэнкинга</w:t>
            </w:r>
            <w:proofErr w:type="spellEnd"/>
            <w:r w:rsidRPr="00030556">
              <w:rPr>
                <w:rFonts w:ascii="Times New Roman" w:eastAsia="Times New Roman" w:hAnsi="Times New Roman" w:cs="Times New Roman"/>
                <w:color w:val="000000"/>
                <w:sz w:val="24"/>
                <w:szCs w:val="24"/>
                <w:lang w:eastAsia="ru-RU"/>
              </w:rPr>
              <w:t xml:space="preserve">). При раскрытии указываются наименование организации, проводившей соответствующую оценку, и реквизиты актов (при наличии), </w:t>
            </w:r>
            <w:r w:rsidRPr="00030556">
              <w:rPr>
                <w:rFonts w:ascii="Times New Roman" w:eastAsia="Times New Roman" w:hAnsi="Times New Roman" w:cs="Times New Roman"/>
                <w:color w:val="000000"/>
                <w:sz w:val="24"/>
                <w:szCs w:val="24"/>
                <w:lang w:eastAsia="ru-RU"/>
              </w:rPr>
              <w:lastRenderedPageBreak/>
              <w:t xml:space="preserve">устанавливающих методику оценки (в частности, национальный стандарт Российской Федерации "Индекс деловой репутации субъектов предпринимательской деятельности (ЭКГ-рейтинг). Методика оценки и порядок формирования ЭКГ-рейтинга ответственного бизнеса" ГОСТ Р 71198-2023, введенный в действие приказом </w:t>
            </w:r>
            <w:proofErr w:type="spellStart"/>
            <w:r w:rsidRPr="00030556">
              <w:rPr>
                <w:rFonts w:ascii="Times New Roman" w:eastAsia="Times New Roman" w:hAnsi="Times New Roman" w:cs="Times New Roman"/>
                <w:color w:val="000000"/>
                <w:sz w:val="24"/>
                <w:szCs w:val="24"/>
                <w:lang w:eastAsia="ru-RU"/>
              </w:rPr>
              <w:t>Росстандарта</w:t>
            </w:r>
            <w:proofErr w:type="spellEnd"/>
            <w:r w:rsidRPr="00030556">
              <w:rPr>
                <w:rFonts w:ascii="Times New Roman" w:eastAsia="Times New Roman" w:hAnsi="Times New Roman" w:cs="Times New Roman"/>
                <w:color w:val="000000"/>
                <w:sz w:val="24"/>
                <w:szCs w:val="24"/>
                <w:lang w:eastAsia="ru-RU"/>
              </w:rPr>
              <w:t xml:space="preserve"> от 29 декабря 2023 г. № 1765-ст)</w:t>
            </w:r>
          </w:p>
        </w:tc>
      </w:tr>
      <w:tr w:rsidR="00030556" w:rsidRPr="00030556" w:rsidTr="00030556">
        <w:tc>
          <w:tcPr>
            <w:tcW w:w="13843" w:type="dxa"/>
            <w:gridSpan w:val="4"/>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VI. Показатели, отражающие участие организации в повышении благосостояния общества и стратегическом развитии Российской Федерации, не включенные в иные разделы</w:t>
            </w:r>
          </w:p>
        </w:tc>
      </w:tr>
      <w:tr w:rsidR="00030556" w:rsidRPr="00030556" w:rsidTr="00030556">
        <w:tc>
          <w:tcPr>
            <w:tcW w:w="13843" w:type="dxa"/>
            <w:gridSpan w:val="4"/>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Сохранение населения, укрепление здоровья и повышение благополучия людей, поддержка семьи</w:t>
            </w: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74.</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Расходы организации на программы поддержки семьи и </w:t>
            </w:r>
            <w:proofErr w:type="spellStart"/>
            <w:r w:rsidRPr="00030556">
              <w:rPr>
                <w:rFonts w:ascii="Times New Roman" w:eastAsia="Times New Roman" w:hAnsi="Times New Roman" w:cs="Times New Roman"/>
                <w:color w:val="000000"/>
                <w:sz w:val="24"/>
                <w:szCs w:val="24"/>
                <w:lang w:eastAsia="ru-RU"/>
              </w:rPr>
              <w:t>родительства</w:t>
            </w:r>
            <w:proofErr w:type="spellEnd"/>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расходами на программы поддержки семьи и </w:t>
            </w:r>
            <w:proofErr w:type="spellStart"/>
            <w:r w:rsidRPr="00030556">
              <w:rPr>
                <w:rFonts w:ascii="Times New Roman" w:eastAsia="Times New Roman" w:hAnsi="Times New Roman" w:cs="Times New Roman"/>
                <w:color w:val="000000"/>
                <w:sz w:val="24"/>
                <w:szCs w:val="24"/>
                <w:lang w:eastAsia="ru-RU"/>
              </w:rPr>
              <w:t>родительства</w:t>
            </w:r>
            <w:proofErr w:type="spellEnd"/>
            <w:r w:rsidRPr="00030556">
              <w:rPr>
                <w:rFonts w:ascii="Times New Roman" w:eastAsia="Times New Roman" w:hAnsi="Times New Roman" w:cs="Times New Roman"/>
                <w:color w:val="000000"/>
                <w:sz w:val="24"/>
                <w:szCs w:val="24"/>
                <w:lang w:eastAsia="ru-RU"/>
              </w:rPr>
              <w:t xml:space="preserve"> могут являться в том числе расходы: на материальную поддержку работников при рождении ребенка; на социальную поддержку работников из малоимущих семей, среднедушевой доход или душевой доход которых соответственно ниже величины прожиточного минимума, установленного в соответствующем субъекте Российской Федерации в соответствии с Федеральным законом "О прожиточном минимуме в Российской Федерации", работников из семей, имеющих 3 и более детей, признанных в установленном порядке многодетными в соответствии с порогом многодетности, установленным субъектом Российской Федерации, и работников, воспитывающих ребенка (детей) без участия второго родителя, в частности, в случаях, когда второй родитель ребенка умер, лишен родительских прав, ограничен в родительских правах; на доплату к пособиям по временной нетрудоспособности работника любого пола в связи с необходимостью осуществления ухода за больным ребенком; на программы поддержки репродуктивного здоровья; на программы добровольного медицинского страхования организации по ведению беременности и родов, программы добровольного медицинского страхования организации для детей работников организации; на компенсацию услуг по присмотру за детьми или организацию корпоративного детского сада; на программу переобучения и </w:t>
            </w:r>
            <w:proofErr w:type="spellStart"/>
            <w:r w:rsidRPr="00030556">
              <w:rPr>
                <w:rFonts w:ascii="Times New Roman" w:eastAsia="Times New Roman" w:hAnsi="Times New Roman" w:cs="Times New Roman"/>
                <w:color w:val="000000"/>
                <w:sz w:val="24"/>
                <w:szCs w:val="24"/>
                <w:lang w:eastAsia="ru-RU"/>
              </w:rPr>
              <w:t>реинтеграции</w:t>
            </w:r>
            <w:proofErr w:type="spellEnd"/>
            <w:r w:rsidRPr="00030556">
              <w:rPr>
                <w:rFonts w:ascii="Times New Roman" w:eastAsia="Times New Roman" w:hAnsi="Times New Roman" w:cs="Times New Roman"/>
                <w:color w:val="000000"/>
                <w:sz w:val="24"/>
                <w:szCs w:val="24"/>
                <w:lang w:eastAsia="ru-RU"/>
              </w:rPr>
              <w:t xml:space="preserve"> работников любого пола по возвращении из </w:t>
            </w:r>
            <w:r w:rsidRPr="00030556">
              <w:rPr>
                <w:rFonts w:ascii="Times New Roman" w:eastAsia="Times New Roman" w:hAnsi="Times New Roman" w:cs="Times New Roman"/>
                <w:color w:val="000000"/>
                <w:sz w:val="24"/>
                <w:szCs w:val="24"/>
                <w:lang w:eastAsia="ru-RU"/>
              </w:rPr>
              <w:lastRenderedPageBreak/>
              <w:t xml:space="preserve">отпуска по уходу за ребенком. При расчете необходимо учитывать мероприятия, выходящие за рамки законодательно установленных требований. Рассчитывается также отношение расходов организации на программы поддержки семьи и </w:t>
            </w:r>
            <w:proofErr w:type="spellStart"/>
            <w:r w:rsidRPr="00030556">
              <w:rPr>
                <w:rFonts w:ascii="Times New Roman" w:eastAsia="Times New Roman" w:hAnsi="Times New Roman" w:cs="Times New Roman"/>
                <w:color w:val="000000"/>
                <w:sz w:val="24"/>
                <w:szCs w:val="24"/>
                <w:lang w:eastAsia="ru-RU"/>
              </w:rPr>
              <w:t>родительства</w:t>
            </w:r>
            <w:proofErr w:type="spellEnd"/>
            <w:r w:rsidRPr="00030556">
              <w:rPr>
                <w:rFonts w:ascii="Times New Roman" w:eastAsia="Times New Roman" w:hAnsi="Times New Roman" w:cs="Times New Roman"/>
                <w:color w:val="000000"/>
                <w:sz w:val="24"/>
                <w:szCs w:val="24"/>
                <w:lang w:eastAsia="ru-RU"/>
              </w:rPr>
              <w:t xml:space="preserve">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Доля расходов организации на программы поддержки семьи и </w:t>
            </w:r>
            <w:proofErr w:type="spellStart"/>
            <w:r w:rsidRPr="00030556">
              <w:rPr>
                <w:rFonts w:ascii="Times New Roman" w:eastAsia="Times New Roman" w:hAnsi="Times New Roman" w:cs="Times New Roman"/>
                <w:color w:val="000000"/>
                <w:sz w:val="24"/>
                <w:szCs w:val="24"/>
                <w:lang w:eastAsia="ru-RU"/>
              </w:rPr>
              <w:t>родительства</w:t>
            </w:r>
            <w:proofErr w:type="spellEnd"/>
            <w:r w:rsidRPr="00030556">
              <w:rPr>
                <w:rFonts w:ascii="Times New Roman" w:eastAsia="Times New Roman" w:hAnsi="Times New Roman" w:cs="Times New Roman"/>
                <w:color w:val="000000"/>
                <w:sz w:val="24"/>
                <w:szCs w:val="24"/>
                <w:lang w:eastAsia="ru-RU"/>
              </w:rPr>
              <w:t xml:space="preserve">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75.</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организации на мероприятия по охране труда и промышленную безопасность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расходов организации на охрану труда и промышленную безопасность к выручке. Расходами на охрану труда и промышленную безопасность являются, в частности, расходы: на реализацию мер по улучшению существующей в организации обстановки, в том числе с учетом существующих рисков причинения вреда здоровью работника и результатов специальной оценки производственных условий; на разработку цифровых (технологических) решений для обеспечения безопасности на объектах промышленности; на обучение персонала всех уровней охране труда, выявлению и предотвращению небезопасных условий и рисков на рабочем месте. При расчете необходимо учитывать мероприятия, выходящие за рамки законодательно установленных требований. Необходимо руководствоваться в том числе указаниями по заполнению формы № 7-травматизм (номер строки 17)</w:t>
            </w: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76.</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 поддержку здоровья работников и представителей местного населения, в том числе: расходы организации на поддержку здоровья работников; расходы организации на поддержку здоровья представителей местного населения</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к расходам на поддержку здоровья работников и представителей местного населения относятся, в частности, расходы: на организацию санаторно-курортного лечения; на медицинскую реабилитацию участников специальной военной операции; на предоставление программы добровольного медицинского страхования; на организацию работы службы психологической поддержки работников; на обеспечение доступа к услугам корпоративного медицинского центра; на реализацию программ поддержки репродуктивного здоровья; на реализацию программ поощрения здорового питания и здорового образа жизни среди работников и представителей местных сообществ; на компенсацию расходов на питание на территории предприятий и офисов организации. Рассчитывается также отношение расходов </w:t>
            </w:r>
            <w:r w:rsidRPr="00030556">
              <w:rPr>
                <w:rFonts w:ascii="Times New Roman" w:eastAsia="Times New Roman" w:hAnsi="Times New Roman" w:cs="Times New Roman"/>
                <w:color w:val="000000"/>
                <w:sz w:val="24"/>
                <w:szCs w:val="24"/>
                <w:lang w:eastAsia="ru-RU"/>
              </w:rPr>
              <w:lastRenderedPageBreak/>
              <w:t>организации на поддержку здоровья работников и представителей местного населения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организации на поддержку здоровья работников и представителей местного населения к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77.</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 развитие инфраструктуры здравоохранения</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расходами на развитие инфраструктуры здравоохранения являются в том числе расходы: на материально-техническое оснащение медицинской организации; на модернизацию, строительство и реконструкцию объектов здравоохранения; на содержание объектов здравоохранения; на развитие телемедицины; на развитие передовых медицинских технологий, биотехнологий и новых лекарственных препаратов. Собственные объекты здравоохранения организации также входят в границы показателя. Рассчитывается также отношение расходов организации на развитие инфраструктуры здравоохранения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организации на развитие инфраструктуры здравоохранения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78.</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 поддержку социально незащищенных групп населения</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расходами на поддержку социально незащищенных групп населения являются расходы в рамках благотворительной и социальной деятельности организации на поддержку: детей-сирот; детей, оставшихся без попечения родителей; инвалидов и лиц с ограниченными возможностями здоровья; одиноких и (или) многодетных родителей, воспитывающих несовершеннолетних детей, в том числе детей-инвалидов; пенсионеров и граждан </w:t>
            </w:r>
            <w:proofErr w:type="spellStart"/>
            <w:r w:rsidRPr="00030556">
              <w:rPr>
                <w:rFonts w:ascii="Times New Roman" w:eastAsia="Times New Roman" w:hAnsi="Times New Roman" w:cs="Times New Roman"/>
                <w:color w:val="000000"/>
                <w:sz w:val="24"/>
                <w:szCs w:val="24"/>
                <w:lang w:eastAsia="ru-RU"/>
              </w:rPr>
              <w:t>предпенсионного</w:t>
            </w:r>
            <w:proofErr w:type="spellEnd"/>
            <w:r w:rsidRPr="00030556">
              <w:rPr>
                <w:rFonts w:ascii="Times New Roman" w:eastAsia="Times New Roman" w:hAnsi="Times New Roman" w:cs="Times New Roman"/>
                <w:color w:val="000000"/>
                <w:sz w:val="24"/>
                <w:szCs w:val="24"/>
                <w:lang w:eastAsia="ru-RU"/>
              </w:rPr>
              <w:t xml:space="preserve"> возраста (в течение 5 лет до наступления возраста, дающего право в соответствии с законодательством Российской Федерации на страховую пенсию по старости, в том числе назначаемую досрочно); выпускников детских домов в возрасте до 23 лет; лиц, освобожденных из мест лишения свободы и имеющих неснятую или непогашенную судимость; беженцев и вынужденных переселенцев; малоимущих граждан; лиц без определенного места жительства и занятий; граждан, признанных нуждающимися в социальном обслуживании, и др. При расчете допускается учет средств, направленных на поддержку социально незащищенных групп населения некоммерческими организациями. Рассчитывается также отношение расходов организации на поддержку социально </w:t>
            </w:r>
            <w:r w:rsidRPr="00030556">
              <w:rPr>
                <w:rFonts w:ascii="Times New Roman" w:eastAsia="Times New Roman" w:hAnsi="Times New Roman" w:cs="Times New Roman"/>
                <w:color w:val="000000"/>
                <w:sz w:val="24"/>
                <w:szCs w:val="24"/>
                <w:lang w:eastAsia="ru-RU"/>
              </w:rPr>
              <w:lastRenderedPageBreak/>
              <w:t>незащищенных групп населения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организации на поддержку социально незащищенных групп населения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79.</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 поддержку массового спорта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расходами на поддержку массового спорта являются, в частности, расходы: на организацию массовых спортивных мероприятий, в том числе соревнований, марафонов и т.д.; на организацию работы спортивных секций; на организацию работы корпоративного спортивного зала для работников; на компенсацию работникам организации расходов на покупку абонемента в спортивный зал; на создание объектов спортивной инфраструктуры и материально-техническое обеспечение объектов спорта, открытых для посещения работниками организации и местными жителями, и другие расходы на поддержку массового спорта. Рассчитывается также отношение расходов организации на поддержку массового спорта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организации на поддержку массового спорта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13843" w:type="dxa"/>
            <w:gridSpan w:val="4"/>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Реализация потенциала каждого человека, развитие его талантов, воспитание патриотичной и социально ответственной личности</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80.</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направленные на поддержку образования, в том числе: на поддержку общеобразовательных организаций; на поддержку организаций, реализующих программы среднего профессионального образования; на профессиональную ориентацию детей и молодежи; на поддержку дополнительного образования для детей и молодежи; на поддержку организаций высшего образования</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расходами, направленными на поддержку общеобразовательных организаций, являются в том числе расходы: на материально-техническое оснащение общеобразовательных организаций; на модернизацию, строительство и реконструкцию общеобразовательных организаций; на содержание объектов общеобразовательных организаций; на реконструкцию общеобразовательных организаций, в результате которой вместимость здания (комплекса зданий) образовательной организации (число мест для детей, учащихся) увеличилась; на открытие и финансирование деятельности дополнительных классов в общеобразовательных организациях (например, профильный класс, соответствующий направлениям деятельности организации); на материальную поддержку программ и мероприятий общеобразовательных организаций, включая программы, направленные на воспитание гармонично развитой, патриотичной и социально ответственной личности на основе традиционных российских духовно-нравственных и культурно-исторических ценностей; расходами, </w:t>
            </w:r>
            <w:r w:rsidRPr="00030556">
              <w:rPr>
                <w:rFonts w:ascii="Times New Roman" w:eastAsia="Times New Roman" w:hAnsi="Times New Roman" w:cs="Times New Roman"/>
                <w:color w:val="000000"/>
                <w:sz w:val="24"/>
                <w:szCs w:val="24"/>
                <w:lang w:eastAsia="ru-RU"/>
              </w:rPr>
              <w:lastRenderedPageBreak/>
              <w:t xml:space="preserve">направленными на поддержку организаций, реализующих программы среднего профессионального образования, являются, в частности, расходы: на партнерское участие в олимпиадах и конкурсах, организованных образовательной организацией; на организацию работы профильной кафедры организации на базе образовательной организации; на материальную поддержку программ и мероприятий организаций, реализующих программы среднего профессионального образования, включая программы, направленные на воспитание гармонично развитой, патриотичной и социально ответственной личности на основе традиционных российских духовно-нравственных и культурно-исторических ценностей; на материально-техническое оснащение зданий (помещений) образовательных организаций, реализующих программы среднего профессионального образования; на модернизацию, строительство и реконструкцию зданий (помещений) образовательных организаций, реализующих программы среднего профессионального образования; на содержание объектов организаций, реализующих программы среднего профессионального образования; расходами на программы и мероприятия, направленные на профессиональную ориентацию детей и молодежи, являются в том числе расходы: на реализацию программ помощи в подготовке школьников к сдаче экзаменов; на организацию профильных олимпиад; на организацию тематических </w:t>
            </w:r>
            <w:proofErr w:type="spellStart"/>
            <w:r w:rsidRPr="00030556">
              <w:rPr>
                <w:rFonts w:ascii="Times New Roman" w:eastAsia="Times New Roman" w:hAnsi="Times New Roman" w:cs="Times New Roman"/>
                <w:color w:val="000000"/>
                <w:sz w:val="24"/>
                <w:szCs w:val="24"/>
                <w:lang w:eastAsia="ru-RU"/>
              </w:rPr>
              <w:t>профориентационных</w:t>
            </w:r>
            <w:proofErr w:type="spellEnd"/>
            <w:r w:rsidRPr="00030556">
              <w:rPr>
                <w:rFonts w:ascii="Times New Roman" w:eastAsia="Times New Roman" w:hAnsi="Times New Roman" w:cs="Times New Roman"/>
                <w:color w:val="000000"/>
                <w:sz w:val="24"/>
                <w:szCs w:val="24"/>
                <w:lang w:eastAsia="ru-RU"/>
              </w:rPr>
              <w:t xml:space="preserve"> уроков; на обучение методикам профориентации педагогов общеобразовательных организаций; на проведение для детей и молодежи экскурсий в организацию; на проведение тематических лагерных смен; на профессиональную ориентацию воспитанников детских домов; расходами, направленными на поддержку дополнительного образования, являются расходы на финансирование: занятий по изучению иностранных языков для детей и молодежи; деятельности общеразвивающих кружков и секций для детей и молодежи; деятельности </w:t>
            </w:r>
            <w:r w:rsidRPr="00030556">
              <w:rPr>
                <w:rFonts w:ascii="Times New Roman" w:eastAsia="Times New Roman" w:hAnsi="Times New Roman" w:cs="Times New Roman"/>
                <w:color w:val="000000"/>
                <w:sz w:val="24"/>
                <w:szCs w:val="24"/>
                <w:lang w:eastAsia="ru-RU"/>
              </w:rPr>
              <w:lastRenderedPageBreak/>
              <w:t>творческих студий и кружков в сфере искусства и культуры для детей и молодежи; расходами на поддержку организаций высшего образования могут являться расходы: на финансирование исследований; на партнерское участие в олимпиадах и конкурсах, организованных образовательной организацией; на организацию работы профильной кафедры организации на базе образовательной организации. При расчете необходимо исключать двойной учет расходов в указанных подкатегориях</w:t>
            </w: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81.</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 инициативы и проекты, направленные на формирование традиционных российских духовно-нравственных и культурно-исторических ценностей</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к расходам на инициативы и проекты, направленные на формирование традиционных духовно-нравственных и культурно-исторических ценностей, относятся в том числе расходы: на мероприятия, нацеленные на популяризацию русского языка и литературы, народных художественных промыслов и ремесел; на реализацию проектов в области музыкального, театрального, изобразительного, танцевального и циркового искусства; на организацию выставочных проектов в музеях; на реализацию программ и мероприятий по просвещению в области устойчивого развития (социальной и экологической ответственности). Рассчитывается также отношение расходов организации на инициативы и проекты, направленные на формирование традиционных духовно-нравственных и культурно-исторических ценностей,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организации на инициативы и проекты, направленные на формирование традиционных духовно-нравственных и культурно-исторических ценностей,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82.</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 добровольческую (волонтерскую) деятельность</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расходами на добровольческую (волонтерскую) деятельность являются в том числе расходы: на </w:t>
            </w:r>
            <w:proofErr w:type="spellStart"/>
            <w:r w:rsidRPr="00030556">
              <w:rPr>
                <w:rFonts w:ascii="Times New Roman" w:eastAsia="Times New Roman" w:hAnsi="Times New Roman" w:cs="Times New Roman"/>
                <w:color w:val="000000"/>
                <w:sz w:val="24"/>
                <w:szCs w:val="24"/>
                <w:lang w:eastAsia="ru-RU"/>
              </w:rPr>
              <w:t>грантовую</w:t>
            </w:r>
            <w:proofErr w:type="spellEnd"/>
            <w:r w:rsidRPr="00030556">
              <w:rPr>
                <w:rFonts w:ascii="Times New Roman" w:eastAsia="Times New Roman" w:hAnsi="Times New Roman" w:cs="Times New Roman"/>
                <w:color w:val="000000"/>
                <w:sz w:val="24"/>
                <w:szCs w:val="24"/>
                <w:lang w:eastAsia="ru-RU"/>
              </w:rPr>
              <w:t xml:space="preserve"> поддержку (в том числе на конкурсной основе) проектов, инициируемых корпоративными добровольческими (волонтерскими) сообществами; на обучение (повышение квалификации) для корпоративных добровольческих (волонтерских) сообществ; на материальную поддержку добровольческих (волонтерских) инициатив (акций, форумов, конференций и др.), включая мероприятия и инициативы, направленные на вовлечение молодежи в добровольческую и общественную деятельность; на предоставление работникам организации оплачиваемых </w:t>
            </w:r>
            <w:r w:rsidRPr="00030556">
              <w:rPr>
                <w:rFonts w:ascii="Times New Roman" w:eastAsia="Times New Roman" w:hAnsi="Times New Roman" w:cs="Times New Roman"/>
                <w:color w:val="000000"/>
                <w:sz w:val="24"/>
                <w:szCs w:val="24"/>
                <w:lang w:eastAsia="ru-RU"/>
              </w:rPr>
              <w:lastRenderedPageBreak/>
              <w:t>выходных дней для занятия добровольческой (волонтерской) деятельностью. Рассчитывается также отношение расходов организации на добровольческую (волонтерскую) деятельность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организации на добровольческую (волонтерскую) деятельность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83.</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 развитие инфраструктуры в сфере культуры, искусства и народного творчества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под расходами на развитие инфраструктуры в сфере культуры, искусства и народного творчества подразумеваются в том числе расходы: на материально-техническое оснащение объектов учреждений культуры; на модернизацию, строительство и реконструкцию объектов учреждений культуры; на содержание объектов учреждений культуры. Рассчитывается также отношение расходов организации на развитие инфраструктуры в сфере культуры, искусства и народного творчества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организации на развитие инфраструктуры в сфере культуры, искусства и народного творчества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13843" w:type="dxa"/>
            <w:gridSpan w:val="4"/>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Комфортная и безопасная среда для жизни</w:t>
            </w: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84.</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 улучшение жилищных условий работников (представителей) местных сообществ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отношение расходов организации на улучшение жилищных условий работников (представителей) местных сообществ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организации на улучшение жилищных условий работников (представителей) местных сообществ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85.</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 повышение благоустройства и комплексное развитие городов и других населенных пунктов</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расходами на повышение благоустройства и комплексное развитие городов и других населенных пунктов являются в том числе расходы: на внедрение цифровых решений в сфере городского хозяйства (в том числе энергосберегающих технологий и технологий контроля и повышения экологического благополучия, интеллектуальных сервисов управления транспортом, сервисов взаимодействия с горожанами); на повышение качества питьевой воды за счет модернизации систем водоснабжения с использованием перспективных технологий водоподготовки; на организацию и благоустройство мест массового отдыха населения, в том числе городских парков, общественных территорий </w:t>
            </w:r>
            <w:r w:rsidRPr="00030556">
              <w:rPr>
                <w:rFonts w:ascii="Times New Roman" w:eastAsia="Times New Roman" w:hAnsi="Times New Roman" w:cs="Times New Roman"/>
                <w:color w:val="000000"/>
                <w:sz w:val="24"/>
                <w:szCs w:val="24"/>
                <w:lang w:eastAsia="ru-RU"/>
              </w:rPr>
              <w:lastRenderedPageBreak/>
              <w:t>(набережные, центральные площади, парковые зоны); на развитие инклюзивной (доступной) среды; на организацию объектов современной торговли в удаленных регионах; на обеспечение доступа населения к продуктам питания в удаленных регионах. Рассчитывается также отношение расходов организации на повышение благоустройства и комплексное развитие городов и других населенных пунктов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организации на повышение благоустройства и комплексное развитие городов и других населенных пунктов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86.</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 повышение качества дорожной сети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расходами на повышение качества дорожной сети являются в том числе расходы: на приведение автомобильных дорог и улично-дорожной сети городских агломераций в нормативное состояние; на реконструкцию транспортных узлов; на развитие </w:t>
            </w:r>
            <w:proofErr w:type="spellStart"/>
            <w:r w:rsidRPr="00030556">
              <w:rPr>
                <w:rFonts w:ascii="Times New Roman" w:eastAsia="Times New Roman" w:hAnsi="Times New Roman" w:cs="Times New Roman"/>
                <w:color w:val="000000"/>
                <w:sz w:val="24"/>
                <w:szCs w:val="24"/>
                <w:lang w:eastAsia="ru-RU"/>
              </w:rPr>
              <w:t>электрозарядной</w:t>
            </w:r>
            <w:proofErr w:type="spellEnd"/>
            <w:r w:rsidRPr="00030556">
              <w:rPr>
                <w:rFonts w:ascii="Times New Roman" w:eastAsia="Times New Roman" w:hAnsi="Times New Roman" w:cs="Times New Roman"/>
                <w:color w:val="000000"/>
                <w:sz w:val="24"/>
                <w:szCs w:val="24"/>
                <w:lang w:eastAsia="ru-RU"/>
              </w:rPr>
              <w:t xml:space="preserve"> инфраструктуры; на установку фонарей уличного освещения. Рассчитывается также отношение расходов организации на повышение качества дорожной сети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организации на повышение качества дорожной сети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13843" w:type="dxa"/>
            <w:gridSpan w:val="4"/>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Экологическое благополучие</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87.</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Отношение расходов организации на реализацию мероприятий, связанных с охраной окружающей среды,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расходов организации на реализацию мероприятий, связанных с охраной окружающей среды (за исключением штрафов), к общей сумме управленческих расходов организации</w:t>
            </w:r>
          </w:p>
        </w:tc>
      </w:tr>
      <w:tr w:rsidR="00030556" w:rsidRPr="00030556" w:rsidTr="00030556">
        <w:tc>
          <w:tcPr>
            <w:tcW w:w="13843" w:type="dxa"/>
            <w:gridSpan w:val="4"/>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Устойчивая и динамичная экономика</w:t>
            </w: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88.</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на корпоративные программы негосударственного пенсионного обеспечения и (или) долгосрочных сбережений, всего и на одного работника</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к расходам на корпоративные программы негосударственного пенсионного обеспечения относятся расходы: на корпоративные программы негосударственного пенсионного обеспечения и (или) долгосрочных сбережений; на корпоративные социальные программы и социальные льготы для работников, вышедших на пенсию. Рассчитывается также отношение расходов на корпоративные программы негосударственного пенсионного обеспечения и (или) долгосрочных сбережений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на корпоративные программы негосударственного пенсионного обеспечения и (или) долгосрочных сбережений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89.</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 проекты по повышению туристической привлекательности территории Российской Федерации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расходами на проекты по повышению туристической привлекательности являются в том числе расходы: на развитие туристической инфраструктуры (в частности, строительство новых гостиниц, многофункциональных комплексов и обеспечивающей инфраструктуры, обновление существующих отелей) и туристских ресурсов; на реализацию проектов по развитию сельского туризма; на развитие промышленного туризма; на поддержку и </w:t>
            </w:r>
            <w:proofErr w:type="spellStart"/>
            <w:r w:rsidRPr="00030556">
              <w:rPr>
                <w:rFonts w:ascii="Times New Roman" w:eastAsia="Times New Roman" w:hAnsi="Times New Roman" w:cs="Times New Roman"/>
                <w:color w:val="000000"/>
                <w:sz w:val="24"/>
                <w:szCs w:val="24"/>
                <w:lang w:eastAsia="ru-RU"/>
              </w:rPr>
              <w:t>цифровизацию</w:t>
            </w:r>
            <w:proofErr w:type="spellEnd"/>
            <w:r w:rsidRPr="00030556">
              <w:rPr>
                <w:rFonts w:ascii="Times New Roman" w:eastAsia="Times New Roman" w:hAnsi="Times New Roman" w:cs="Times New Roman"/>
                <w:color w:val="000000"/>
                <w:sz w:val="24"/>
                <w:szCs w:val="24"/>
                <w:lang w:eastAsia="ru-RU"/>
              </w:rPr>
              <w:t xml:space="preserve"> точек притяжения (культурных, природных); на разработку информационных (цифровых) продуктов о регионах (достопримечательностях); на развитие оздоровительного отдыха (строительство и обновление объектов санаторно-курортного назначения); на развитие экотуризма (создание и развитие туристических маршрутов, туристских троп, доступных мест отдыха и др.). Рассчитывается также отношение расходов организации на повышение туристической привлекательности территории Российской Федерации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организации на проекты по повышению туристической привлекательности территории Российской Федерации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13843" w:type="dxa"/>
            <w:gridSpan w:val="4"/>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Технологическое лидерство</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90.</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Отношение инвестиций организации в проекты, связанные с достижением технологического суверенитета и структурной адаптацией экономики Российской Федерации,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инвестиций организации в проекты, связанные с достижением технологического суверенитета и структурной адаптацией экономики Российской Федерации, к общей сумме управленческих расходов организации</w:t>
            </w: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91.</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Общие расходы организации на научные исследования и (или) опытно-конструкторские разработки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при расчете общих расходов на научные исследования и (или) опытно-конструкторские разработки учитываются все произведенные организацией за отчетный период фактические расходы, связанные с научными исследованиями и (или) опытно-конструкторскими разработками, за исключением субсидируемых расходов. Для определения размера указанных расходов следует руководствоваться в том числе пунктом 2 статьи 262 Налогового кодекса Российской Федерации. Рассчитывается как отношение расходов организации на научные исследования и (или) опытно-</w:t>
            </w:r>
            <w:r w:rsidRPr="00030556">
              <w:rPr>
                <w:rFonts w:ascii="Times New Roman" w:eastAsia="Times New Roman" w:hAnsi="Times New Roman" w:cs="Times New Roman"/>
                <w:color w:val="000000"/>
                <w:sz w:val="24"/>
                <w:szCs w:val="24"/>
                <w:lang w:eastAsia="ru-RU"/>
              </w:rPr>
              <w:lastRenderedPageBreak/>
              <w:t>конструкторские разработки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Доля расходов на научные исследования и (или) опытно-конструкторские разработки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13843" w:type="dxa"/>
            <w:gridSpan w:val="4"/>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lastRenderedPageBreak/>
              <w:t>Цифровая трансформация государственного и муниципального управления, экономики и социальной сферы</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92.</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Расходы организации на проекты по разработке и внедрению российских решений в сфере информационных технологий, включая решения, связанные с хранением и обработкой данных, направленных на </w:t>
            </w:r>
            <w:proofErr w:type="spellStart"/>
            <w:r w:rsidRPr="00030556">
              <w:rPr>
                <w:rFonts w:ascii="Times New Roman" w:eastAsia="Times New Roman" w:hAnsi="Times New Roman" w:cs="Times New Roman"/>
                <w:color w:val="000000"/>
                <w:sz w:val="24"/>
                <w:szCs w:val="24"/>
                <w:lang w:eastAsia="ru-RU"/>
              </w:rPr>
              <w:t>импортозамещение</w:t>
            </w:r>
            <w:proofErr w:type="spellEnd"/>
            <w:r w:rsidRPr="00030556">
              <w:rPr>
                <w:rFonts w:ascii="Times New Roman" w:eastAsia="Times New Roman" w:hAnsi="Times New Roman" w:cs="Times New Roman"/>
                <w:color w:val="000000"/>
                <w:sz w:val="24"/>
                <w:szCs w:val="24"/>
                <w:lang w:eastAsia="ru-RU"/>
              </w:rPr>
              <w:t xml:space="preserve">, в том числе реализуемые </w:t>
            </w:r>
            <w:proofErr w:type="spellStart"/>
            <w:r w:rsidRPr="00030556">
              <w:rPr>
                <w:rFonts w:ascii="Times New Roman" w:eastAsia="Times New Roman" w:hAnsi="Times New Roman" w:cs="Times New Roman"/>
                <w:color w:val="000000"/>
                <w:sz w:val="24"/>
                <w:szCs w:val="24"/>
                <w:lang w:eastAsia="ru-RU"/>
              </w:rPr>
              <w:t>стартапами</w:t>
            </w:r>
            <w:proofErr w:type="spellEnd"/>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к расходам на проекты и решения в сфере информационных технологий относятся в том числе расходы: на решения в области искусственного интеллекта и машинного обучения; на облачные сетевые технологии; на интернет вещей; на роботизированную автоматизацию процессов. При расчете необходимо исключить двойной учет расходов в случае, если они уже были учтены при расчете показателя "Доля расходов на научные исследования и (или) опытно-конструкторские разработки в общей сумме управленческих расходов организации". При расчете необходимо учитывать исключительно </w:t>
            </w:r>
            <w:proofErr w:type="spellStart"/>
            <w:r w:rsidRPr="00030556">
              <w:rPr>
                <w:rFonts w:ascii="Times New Roman" w:eastAsia="Times New Roman" w:hAnsi="Times New Roman" w:cs="Times New Roman"/>
                <w:color w:val="000000"/>
                <w:sz w:val="24"/>
                <w:szCs w:val="24"/>
                <w:lang w:eastAsia="ru-RU"/>
              </w:rPr>
              <w:t>стартапы</w:t>
            </w:r>
            <w:proofErr w:type="spellEnd"/>
            <w:r w:rsidRPr="00030556">
              <w:rPr>
                <w:rFonts w:ascii="Times New Roman" w:eastAsia="Times New Roman" w:hAnsi="Times New Roman" w:cs="Times New Roman"/>
                <w:color w:val="000000"/>
                <w:sz w:val="24"/>
                <w:szCs w:val="24"/>
                <w:lang w:eastAsia="ru-RU"/>
              </w:rPr>
              <w:t>, находящиеся под юрисдикцией Российской Федерации, конечными бенефициарами которых являются российские юридические и физические лица</w:t>
            </w: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93.</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Отношение расходов организации на проекты по разработке и внедрению российских решений в сфере информационных технологий, направленных на </w:t>
            </w:r>
            <w:proofErr w:type="spellStart"/>
            <w:r w:rsidRPr="00030556">
              <w:rPr>
                <w:rFonts w:ascii="Times New Roman" w:eastAsia="Times New Roman" w:hAnsi="Times New Roman" w:cs="Times New Roman"/>
                <w:color w:val="000000"/>
                <w:sz w:val="24"/>
                <w:szCs w:val="24"/>
                <w:lang w:eastAsia="ru-RU"/>
              </w:rPr>
              <w:t>импортозамещение</w:t>
            </w:r>
            <w:proofErr w:type="spellEnd"/>
            <w:r w:rsidRPr="00030556">
              <w:rPr>
                <w:rFonts w:ascii="Times New Roman" w:eastAsia="Times New Roman" w:hAnsi="Times New Roman" w:cs="Times New Roman"/>
                <w:color w:val="000000"/>
                <w:sz w:val="24"/>
                <w:szCs w:val="24"/>
                <w:lang w:eastAsia="ru-RU"/>
              </w:rPr>
              <w:t xml:space="preserve">, в том числе реализуемые </w:t>
            </w:r>
            <w:proofErr w:type="spellStart"/>
            <w:r w:rsidRPr="00030556">
              <w:rPr>
                <w:rFonts w:ascii="Times New Roman" w:eastAsia="Times New Roman" w:hAnsi="Times New Roman" w:cs="Times New Roman"/>
                <w:color w:val="000000"/>
                <w:sz w:val="24"/>
                <w:szCs w:val="24"/>
                <w:lang w:eastAsia="ru-RU"/>
              </w:rPr>
              <w:t>стартапами</w:t>
            </w:r>
            <w:proofErr w:type="spellEnd"/>
            <w:r w:rsidRPr="00030556">
              <w:rPr>
                <w:rFonts w:ascii="Times New Roman" w:eastAsia="Times New Roman" w:hAnsi="Times New Roman" w:cs="Times New Roman"/>
                <w:color w:val="000000"/>
                <w:sz w:val="24"/>
                <w:szCs w:val="24"/>
                <w:lang w:eastAsia="ru-RU"/>
              </w:rPr>
              <w:t>,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 xml:space="preserve">рассчитывается как отношение расходов организации на проекты по разработке и внедрению российских решений в сфере информационных технологий, направленных на </w:t>
            </w:r>
            <w:proofErr w:type="spellStart"/>
            <w:r w:rsidRPr="00030556">
              <w:rPr>
                <w:rFonts w:ascii="Times New Roman" w:eastAsia="Times New Roman" w:hAnsi="Times New Roman" w:cs="Times New Roman"/>
                <w:color w:val="000000"/>
                <w:sz w:val="24"/>
                <w:szCs w:val="24"/>
                <w:lang w:eastAsia="ru-RU"/>
              </w:rPr>
              <w:t>импортозамещение</w:t>
            </w:r>
            <w:proofErr w:type="spellEnd"/>
            <w:r w:rsidRPr="00030556">
              <w:rPr>
                <w:rFonts w:ascii="Times New Roman" w:eastAsia="Times New Roman" w:hAnsi="Times New Roman" w:cs="Times New Roman"/>
                <w:color w:val="000000"/>
                <w:sz w:val="24"/>
                <w:szCs w:val="24"/>
                <w:lang w:eastAsia="ru-RU"/>
              </w:rPr>
              <w:t xml:space="preserve">, в том числе реализуемые </w:t>
            </w:r>
            <w:proofErr w:type="spellStart"/>
            <w:r w:rsidRPr="00030556">
              <w:rPr>
                <w:rFonts w:ascii="Times New Roman" w:eastAsia="Times New Roman" w:hAnsi="Times New Roman" w:cs="Times New Roman"/>
                <w:color w:val="000000"/>
                <w:sz w:val="24"/>
                <w:szCs w:val="24"/>
                <w:lang w:eastAsia="ru-RU"/>
              </w:rPr>
              <w:t>стартапами</w:t>
            </w:r>
            <w:proofErr w:type="spellEnd"/>
            <w:r w:rsidRPr="00030556">
              <w:rPr>
                <w:rFonts w:ascii="Times New Roman" w:eastAsia="Times New Roman" w:hAnsi="Times New Roman" w:cs="Times New Roman"/>
                <w:color w:val="000000"/>
                <w:sz w:val="24"/>
                <w:szCs w:val="24"/>
                <w:lang w:eastAsia="ru-RU"/>
              </w:rPr>
              <w:t>, к общей сумме управленческих расходов организации</w:t>
            </w:r>
          </w:p>
        </w:tc>
      </w:tr>
      <w:tr w:rsidR="00030556" w:rsidRPr="00030556" w:rsidTr="00030556">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94.</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Расходы организации на обеспечение информационной безопасности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тыс. рублей    </w:t>
            </w:r>
          </w:p>
        </w:tc>
        <w:tc>
          <w:tcPr>
            <w:tcW w:w="0" w:type="auto"/>
            <w:vMerge w:val="restart"/>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к расходам на обеспечение информационной безопасности относятся в том числе расходы: на переход на российское программное обеспечение; на установку антивирусных программ; на установку программ облачной защиты; на системы аутентификации и шифрования. Рассчитывается как отношение расходов организации на обеспечение информационной безопасности к общей сумме управленческих расходов организации</w:t>
            </w:r>
          </w:p>
        </w:tc>
      </w:tr>
      <w:tr w:rsidR="00030556" w:rsidRPr="00030556" w:rsidTr="00030556">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Отношение расходов организации на обеспечение информационной безопасности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vMerge/>
            <w:tcBorders>
              <w:top w:val="single" w:sz="2" w:space="0" w:color="auto"/>
              <w:left w:val="single" w:sz="4" w:space="0" w:color="auto"/>
              <w:bottom w:val="single" w:sz="2" w:space="0" w:color="auto"/>
              <w:right w:val="single" w:sz="4" w:space="0" w:color="auto"/>
            </w:tcBorders>
            <w:vAlign w:val="center"/>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p>
        </w:tc>
      </w:tr>
      <w:tr w:rsidR="00030556" w:rsidRPr="00030556" w:rsidTr="00030556">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95.</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Отношение расходов организации на обеспечение цифровой безопасности в общей сумме управленческих расходов организации</w:t>
            </w:r>
          </w:p>
        </w:tc>
        <w:tc>
          <w:tcPr>
            <w:tcW w:w="2940" w:type="dxa"/>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процентов</w:t>
            </w:r>
          </w:p>
        </w:tc>
        <w:tc>
          <w:tcPr>
            <w:tcW w:w="0" w:type="auto"/>
            <w:tcBorders>
              <w:top w:val="single" w:sz="2" w:space="0" w:color="auto"/>
              <w:left w:val="single" w:sz="4" w:space="0" w:color="auto"/>
              <w:bottom w:val="single" w:sz="2" w:space="0" w:color="auto"/>
              <w:right w:val="single" w:sz="4" w:space="0" w:color="auto"/>
            </w:tcBorders>
            <w:shd w:val="clear" w:color="auto" w:fill="FFFFFF"/>
            <w:hideMark/>
          </w:tcPr>
          <w:p w:rsidR="00030556" w:rsidRPr="00030556" w:rsidRDefault="00030556" w:rsidP="00030556">
            <w:pPr>
              <w:spacing w:after="0" w:line="240" w:lineRule="auto"/>
              <w:rPr>
                <w:rFonts w:ascii="Times New Roman" w:eastAsia="Times New Roman" w:hAnsi="Times New Roman" w:cs="Times New Roman"/>
                <w:color w:val="000000"/>
                <w:sz w:val="24"/>
                <w:szCs w:val="24"/>
                <w:lang w:eastAsia="ru-RU"/>
              </w:rPr>
            </w:pPr>
            <w:r w:rsidRPr="00030556">
              <w:rPr>
                <w:rFonts w:ascii="Times New Roman" w:eastAsia="Times New Roman" w:hAnsi="Times New Roman" w:cs="Times New Roman"/>
                <w:color w:val="000000"/>
                <w:sz w:val="24"/>
                <w:szCs w:val="24"/>
                <w:lang w:eastAsia="ru-RU"/>
              </w:rPr>
              <w:t>рассчитывается как отношение расходов организации на обеспечение цифровой безопасности к общей сумме управленческих расходов организации</w:t>
            </w:r>
          </w:p>
        </w:tc>
      </w:tr>
    </w:tbl>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lastRenderedPageBreak/>
        <w:t>------------------------------</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0"/>
          <w:szCs w:val="20"/>
          <w:vertAlign w:val="superscript"/>
          <w:lang w:eastAsia="ru-RU"/>
        </w:rPr>
        <w:t>1 </w:t>
      </w:r>
      <w:r w:rsidRPr="00030556">
        <w:rPr>
          <w:rFonts w:ascii="Segoe UI" w:eastAsia="Times New Roman" w:hAnsi="Segoe UI" w:cs="Segoe UI"/>
          <w:color w:val="212529"/>
          <w:sz w:val="24"/>
          <w:szCs w:val="24"/>
          <w:lang w:eastAsia="ru-RU"/>
        </w:rPr>
        <w:t>В целях отражения информации об участии организации в достижении национальных целей развития Российской Федерации на период до 2030 года и на перспективу до 2036 года, определенных Указом Президента Российской Федерации от 7 мая 2024 г. № 309 "О национальных целях развития Российской Федерации на период до 2030 года и на перспективу до 2036 года", организация также может включать в отчетность показатели Единого плана по достижению национальных целей развития Российской Федерации до 2030 года и на перспективу до 2036 года.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0"/>
          <w:szCs w:val="20"/>
          <w:vertAlign w:val="superscript"/>
          <w:lang w:eastAsia="ru-RU"/>
        </w:rPr>
        <w:t>2</w:t>
      </w:r>
      <w:r w:rsidRPr="00030556">
        <w:rPr>
          <w:rFonts w:ascii="Segoe UI" w:eastAsia="Times New Roman" w:hAnsi="Segoe UI" w:cs="Segoe UI"/>
          <w:color w:val="212529"/>
          <w:sz w:val="24"/>
          <w:szCs w:val="24"/>
          <w:lang w:eastAsia="ru-RU"/>
        </w:rPr>
        <w:t> Здесь и далее отношение показателя к управленческим расходам рассчитывается вне зависимости от вида расходов, в составе которых были понесены расходы, учитываемые в числителе соответствующего показателя.</w:t>
      </w:r>
    </w:p>
    <w:p w:rsidR="00030556" w:rsidRPr="00030556" w:rsidRDefault="00030556" w:rsidP="00030556">
      <w:pPr>
        <w:shd w:val="clear" w:color="auto" w:fill="FFFFFF"/>
        <w:spacing w:after="0"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pict>
          <v:rect id="_x0000_i1025" style="width:0;height:1.5pt" o:hralign="center" o:hrstd="t" o:hr="t" fillcolor="#a0a0a0" stroked="f"/>
        </w:pict>
      </w:r>
    </w:p>
    <w:p w:rsidR="00030556" w:rsidRPr="00030556" w:rsidRDefault="00030556" w:rsidP="00030556">
      <w:pPr>
        <w:shd w:val="clear" w:color="auto" w:fill="FFFFFF"/>
        <w:spacing w:after="0"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Обзор документа</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Определены основные подходы к составлению и раскрытию публичной нефинансовой отчетности в сфере общественного капитала бизнеса, представляющей собой систематизированную информацию о деятельности организации, в том числе экологическую, социальную, управленческую и экономическую.</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Указан порядок верификации соответствия деятельности организации целевым значениям показателей общественного капитала бизнеса. Координатором системы выступает АНО "Общественный капитал".</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Порядок предоставления административных, финансовых и других мер поддержки организаций, применяющих стандарт, определяется Правительством, уполномоченными им федеральными органами, региональными и муниципальными органами. Он не регулируется стандартом.</w:t>
      </w:r>
    </w:p>
    <w:p w:rsidR="00030556" w:rsidRPr="00030556" w:rsidRDefault="00030556" w:rsidP="00030556">
      <w:pPr>
        <w:shd w:val="clear" w:color="auto" w:fill="FFFFFF"/>
        <w:spacing w:after="100" w:afterAutospacing="1" w:line="240" w:lineRule="auto"/>
        <w:rPr>
          <w:rFonts w:ascii="Segoe UI" w:eastAsia="Times New Roman" w:hAnsi="Segoe UI" w:cs="Segoe UI"/>
          <w:color w:val="212529"/>
          <w:sz w:val="24"/>
          <w:szCs w:val="24"/>
          <w:lang w:eastAsia="ru-RU"/>
        </w:rPr>
      </w:pPr>
      <w:r w:rsidRPr="00030556">
        <w:rPr>
          <w:rFonts w:ascii="Segoe UI" w:eastAsia="Times New Roman" w:hAnsi="Segoe UI" w:cs="Segoe UI"/>
          <w:color w:val="212529"/>
          <w:sz w:val="24"/>
          <w:szCs w:val="24"/>
          <w:lang w:eastAsia="ru-RU"/>
        </w:rPr>
        <w:t>Организации применяют стандарт добровольно.</w:t>
      </w:r>
    </w:p>
    <w:p w:rsidR="004E6CC5" w:rsidRDefault="004E6CC5"/>
    <w:sectPr w:rsidR="004E6CC5" w:rsidSect="00030556">
      <w:pgSz w:w="16838" w:h="11906" w:orient="landscape"/>
      <w:pgMar w:top="993" w:right="1134" w:bottom="70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556"/>
    <w:rsid w:val="00030556"/>
    <w:rsid w:val="004E6C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E0B4D6-0535-4E20-9A07-13D68E782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305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3055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3055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3055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3055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30556"/>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030556"/>
  </w:style>
  <w:style w:type="paragraph" w:styleId="a3">
    <w:name w:val="Normal (Web)"/>
    <w:basedOn w:val="a"/>
    <w:uiPriority w:val="99"/>
    <w:semiHidden/>
    <w:unhideWhenUsed/>
    <w:rsid w:val="000305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30556"/>
    <w:rPr>
      <w:color w:val="0000FF"/>
      <w:u w:val="single"/>
    </w:rPr>
  </w:style>
  <w:style w:type="character" w:styleId="a5">
    <w:name w:val="FollowedHyperlink"/>
    <w:basedOn w:val="a0"/>
    <w:uiPriority w:val="99"/>
    <w:semiHidden/>
    <w:unhideWhenUsed/>
    <w:rsid w:val="0003055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1430032">
      <w:bodyDiv w:val="1"/>
      <w:marLeft w:val="0"/>
      <w:marRight w:val="0"/>
      <w:marTop w:val="0"/>
      <w:marBottom w:val="0"/>
      <w:divBdr>
        <w:top w:val="none" w:sz="0" w:space="0" w:color="auto"/>
        <w:left w:val="none" w:sz="0" w:space="0" w:color="auto"/>
        <w:bottom w:val="none" w:sz="0" w:space="0" w:color="auto"/>
        <w:right w:val="none" w:sz="0" w:space="0" w:color="auto"/>
      </w:divBdr>
      <w:divsChild>
        <w:div w:id="1779249943">
          <w:marLeft w:val="0"/>
          <w:marRight w:val="0"/>
          <w:marTop w:val="0"/>
          <w:marBottom w:val="0"/>
          <w:divBdr>
            <w:top w:val="none" w:sz="0" w:space="0" w:color="auto"/>
            <w:left w:val="none" w:sz="0" w:space="0" w:color="auto"/>
            <w:bottom w:val="none" w:sz="0" w:space="0" w:color="auto"/>
            <w:right w:val="none" w:sz="0" w:space="0" w:color="auto"/>
          </w:divBdr>
          <w:divsChild>
            <w:div w:id="1877890574">
              <w:marLeft w:val="0"/>
              <w:marRight w:val="0"/>
              <w:marTop w:val="0"/>
              <w:marBottom w:val="0"/>
              <w:divBdr>
                <w:top w:val="none" w:sz="0" w:space="0" w:color="auto"/>
                <w:left w:val="none" w:sz="0" w:space="0" w:color="auto"/>
                <w:bottom w:val="none" w:sz="0" w:space="0" w:color="auto"/>
                <w:right w:val="none" w:sz="0" w:space="0" w:color="auto"/>
              </w:divBdr>
              <w:divsChild>
                <w:div w:id="9234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54839">
          <w:marLeft w:val="0"/>
          <w:marRight w:val="0"/>
          <w:marTop w:val="0"/>
          <w:marBottom w:val="0"/>
          <w:divBdr>
            <w:top w:val="none" w:sz="0" w:space="0" w:color="auto"/>
            <w:left w:val="none" w:sz="0" w:space="0" w:color="auto"/>
            <w:bottom w:val="none" w:sz="0" w:space="0" w:color="auto"/>
            <w:right w:val="none" w:sz="0" w:space="0" w:color="auto"/>
          </w:divBdr>
          <w:divsChild>
            <w:div w:id="557472230">
              <w:marLeft w:val="0"/>
              <w:marRight w:val="0"/>
              <w:marTop w:val="0"/>
              <w:marBottom w:val="0"/>
              <w:divBdr>
                <w:top w:val="none" w:sz="0" w:space="0" w:color="auto"/>
                <w:left w:val="none" w:sz="0" w:space="0" w:color="auto"/>
                <w:bottom w:val="none" w:sz="0" w:space="0" w:color="auto"/>
                <w:right w:val="none" w:sz="0" w:space="0" w:color="auto"/>
              </w:divBdr>
            </w:div>
            <w:div w:id="199001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arant.ru/products/ipo/prime/doc/413510798/" TargetMode="External"/><Relationship Id="rId18" Type="http://schemas.openxmlformats.org/officeDocument/2006/relationships/hyperlink" Target="https://www.garant.ru/products/ipo/prime/doc/413510798/" TargetMode="External"/><Relationship Id="rId26" Type="http://schemas.openxmlformats.org/officeDocument/2006/relationships/hyperlink" Target="https://www.garant.ru/products/ipo/prime/doc/413510798/" TargetMode="External"/><Relationship Id="rId39" Type="http://schemas.openxmlformats.org/officeDocument/2006/relationships/hyperlink" Target="https://www.garant.ru/products/ipo/prime/doc/413510798/" TargetMode="External"/><Relationship Id="rId21" Type="http://schemas.openxmlformats.org/officeDocument/2006/relationships/hyperlink" Target="https://www.garant.ru/products/ipo/prime/doc/413510798/" TargetMode="External"/><Relationship Id="rId34" Type="http://schemas.openxmlformats.org/officeDocument/2006/relationships/hyperlink" Target="https://www.garant.ru/products/ipo/prime/doc/413510798/" TargetMode="External"/><Relationship Id="rId42" Type="http://schemas.openxmlformats.org/officeDocument/2006/relationships/fontTable" Target="fontTable.xml"/><Relationship Id="rId7" Type="http://schemas.openxmlformats.org/officeDocument/2006/relationships/hyperlink" Target="https://www.garant.ru/products/ipo/prime/doc/413510798/" TargetMode="External"/><Relationship Id="rId2" Type="http://schemas.openxmlformats.org/officeDocument/2006/relationships/settings" Target="settings.xml"/><Relationship Id="rId16" Type="http://schemas.openxmlformats.org/officeDocument/2006/relationships/hyperlink" Target="https://www.garant.ru/products/ipo/prime/doc/413510798/" TargetMode="External"/><Relationship Id="rId20" Type="http://schemas.openxmlformats.org/officeDocument/2006/relationships/hyperlink" Target="https://www.garant.ru/products/ipo/prime/doc/413510798/" TargetMode="External"/><Relationship Id="rId29" Type="http://schemas.openxmlformats.org/officeDocument/2006/relationships/hyperlink" Target="https://www.garant.ru/products/ipo/prime/doc/413510798/" TargetMode="External"/><Relationship Id="rId41" Type="http://schemas.openxmlformats.org/officeDocument/2006/relationships/hyperlink" Target="https://www.garant.ru/products/ipo/prime/doc/413510798/" TargetMode="External"/><Relationship Id="rId1" Type="http://schemas.openxmlformats.org/officeDocument/2006/relationships/styles" Target="styles.xml"/><Relationship Id="rId6" Type="http://schemas.openxmlformats.org/officeDocument/2006/relationships/hyperlink" Target="https://www.garant.ru/products/ipo/prime/doc/413510798/" TargetMode="External"/><Relationship Id="rId11" Type="http://schemas.openxmlformats.org/officeDocument/2006/relationships/hyperlink" Target="https://www.garant.ru/products/ipo/prime/doc/413510798/" TargetMode="External"/><Relationship Id="rId24" Type="http://schemas.openxmlformats.org/officeDocument/2006/relationships/hyperlink" Target="https://www.garant.ru/products/ipo/prime/doc/413510798/" TargetMode="External"/><Relationship Id="rId32" Type="http://schemas.openxmlformats.org/officeDocument/2006/relationships/hyperlink" Target="https://www.garant.ru/products/ipo/prime/doc/413510798/" TargetMode="External"/><Relationship Id="rId37" Type="http://schemas.openxmlformats.org/officeDocument/2006/relationships/hyperlink" Target="https://www.garant.ru/products/ipo/prime/doc/413510798/" TargetMode="External"/><Relationship Id="rId40" Type="http://schemas.openxmlformats.org/officeDocument/2006/relationships/hyperlink" Target="https://www.garant.ru/products/ipo/prime/doc/413510798/" TargetMode="External"/><Relationship Id="rId5" Type="http://schemas.openxmlformats.org/officeDocument/2006/relationships/hyperlink" Target="https://www.garant.ru/products/ipo/prime/doc/413510798/" TargetMode="External"/><Relationship Id="rId15" Type="http://schemas.openxmlformats.org/officeDocument/2006/relationships/hyperlink" Target="https://www.garant.ru/products/ipo/prime/doc/413510798/" TargetMode="External"/><Relationship Id="rId23" Type="http://schemas.openxmlformats.org/officeDocument/2006/relationships/hyperlink" Target="https://www.garant.ru/products/ipo/prime/doc/413510798/" TargetMode="External"/><Relationship Id="rId28" Type="http://schemas.openxmlformats.org/officeDocument/2006/relationships/hyperlink" Target="https://www.garant.ru/products/ipo/prime/doc/413510798/" TargetMode="External"/><Relationship Id="rId36" Type="http://schemas.openxmlformats.org/officeDocument/2006/relationships/hyperlink" Target="https://www.garant.ru/products/ipo/prime/doc/413510798/" TargetMode="External"/><Relationship Id="rId10" Type="http://schemas.openxmlformats.org/officeDocument/2006/relationships/hyperlink" Target="https://www.garant.ru/products/ipo/prime/doc/413510798/" TargetMode="External"/><Relationship Id="rId19" Type="http://schemas.openxmlformats.org/officeDocument/2006/relationships/hyperlink" Target="https://www.garant.ru/products/ipo/prime/doc/413510798/" TargetMode="External"/><Relationship Id="rId31" Type="http://schemas.openxmlformats.org/officeDocument/2006/relationships/hyperlink" Target="https://www.garant.ru/products/ipo/prime/doc/413510798/" TargetMode="External"/><Relationship Id="rId4" Type="http://schemas.openxmlformats.org/officeDocument/2006/relationships/hyperlink" Target="https://www.garant.ru/products/ipo/prime/doc/413510798/" TargetMode="External"/><Relationship Id="rId9" Type="http://schemas.openxmlformats.org/officeDocument/2006/relationships/hyperlink" Target="https://www.garant.ru/products/ipo/prime/doc/413510798/" TargetMode="External"/><Relationship Id="rId14" Type="http://schemas.openxmlformats.org/officeDocument/2006/relationships/hyperlink" Target="https://www.garant.ru/products/ipo/prime/doc/413510798/" TargetMode="External"/><Relationship Id="rId22" Type="http://schemas.openxmlformats.org/officeDocument/2006/relationships/hyperlink" Target="https://www.garant.ru/products/ipo/prime/doc/413510798/" TargetMode="External"/><Relationship Id="rId27" Type="http://schemas.openxmlformats.org/officeDocument/2006/relationships/hyperlink" Target="https://www.garant.ru/products/ipo/prime/doc/413510798/" TargetMode="External"/><Relationship Id="rId30" Type="http://schemas.openxmlformats.org/officeDocument/2006/relationships/hyperlink" Target="https://www.garant.ru/products/ipo/prime/doc/413510798/" TargetMode="External"/><Relationship Id="rId35" Type="http://schemas.openxmlformats.org/officeDocument/2006/relationships/hyperlink" Target="https://www.garant.ru/products/ipo/prime/doc/413510798/" TargetMode="External"/><Relationship Id="rId43" Type="http://schemas.openxmlformats.org/officeDocument/2006/relationships/theme" Target="theme/theme1.xml"/><Relationship Id="rId8" Type="http://schemas.openxmlformats.org/officeDocument/2006/relationships/hyperlink" Target="https://www.garant.ru/products/ipo/prime/doc/413510798/" TargetMode="External"/><Relationship Id="rId3" Type="http://schemas.openxmlformats.org/officeDocument/2006/relationships/webSettings" Target="webSettings.xml"/><Relationship Id="rId12" Type="http://schemas.openxmlformats.org/officeDocument/2006/relationships/hyperlink" Target="https://www.garant.ru/products/ipo/prime/doc/413510798/" TargetMode="External"/><Relationship Id="rId17" Type="http://schemas.openxmlformats.org/officeDocument/2006/relationships/hyperlink" Target="https://www.garant.ru/products/ipo/prime/doc/413510798/" TargetMode="External"/><Relationship Id="rId25" Type="http://schemas.openxmlformats.org/officeDocument/2006/relationships/hyperlink" Target="https://www.garant.ru/products/ipo/prime/doc/413510798/" TargetMode="External"/><Relationship Id="rId33" Type="http://schemas.openxmlformats.org/officeDocument/2006/relationships/hyperlink" Target="https://www.garant.ru/products/ipo/prime/doc/413510798/" TargetMode="External"/><Relationship Id="rId38" Type="http://schemas.openxmlformats.org/officeDocument/2006/relationships/hyperlink" Target="https://www.garant.ru/products/ipo/prime/doc/4135107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52</Pages>
  <Words>17793</Words>
  <Characters>101426</Characters>
  <Application>Microsoft Office Word</Application>
  <DocSecurity>0</DocSecurity>
  <Lines>845</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Балдина</dc:creator>
  <cp:keywords/>
  <dc:description/>
  <cp:lastModifiedBy>Балдина</cp:lastModifiedBy>
  <cp:revision>1</cp:revision>
  <dcterms:created xsi:type="dcterms:W3CDTF">2026-03-17T08:17:00Z</dcterms:created>
  <dcterms:modified xsi:type="dcterms:W3CDTF">2026-03-17T08:20:00Z</dcterms:modified>
</cp:coreProperties>
</file>