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805" w:rsidRPr="0096729B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96729B">
        <w:rPr>
          <w:rFonts w:ascii="Times New Roman" w:hAnsi="Times New Roman"/>
          <w:b/>
          <w:szCs w:val="24"/>
        </w:rPr>
        <w:t>НОВЫЕ ДОКУМЕНТЫ К РАС</w:t>
      </w:r>
      <w:r>
        <w:rPr>
          <w:rFonts w:ascii="Times New Roman" w:hAnsi="Times New Roman"/>
          <w:b/>
          <w:szCs w:val="24"/>
        </w:rPr>
        <w:t>СМОТРЕНИЮ НА СЕМИНАРАХ – 2026 (1</w:t>
      </w:r>
      <w:r w:rsidRPr="0096729B">
        <w:rPr>
          <w:rFonts w:ascii="Times New Roman" w:hAnsi="Times New Roman"/>
          <w:b/>
          <w:szCs w:val="24"/>
        </w:rPr>
        <w:t>)</w:t>
      </w:r>
    </w:p>
    <w:p w:rsidR="00D10805" w:rsidRDefault="00D10805" w:rsidP="00D10805">
      <w:pPr>
        <w:jc w:val="center"/>
        <w:rPr>
          <w:rFonts w:ascii="Times New Roman" w:hAnsi="Times New Roman"/>
          <w:b/>
          <w:sz w:val="12"/>
          <w:szCs w:val="12"/>
        </w:rPr>
      </w:pPr>
    </w:p>
    <w:p w:rsidR="00D10805" w:rsidRPr="00FF6C89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Общие вопросы</w:t>
      </w:r>
    </w:p>
    <w:p w:rsidR="008E7916" w:rsidRDefault="008E7916">
      <w:pPr>
        <w:rPr>
          <w:rFonts w:ascii="Tahoma" w:hAnsi="Tahoma"/>
          <w:sz w:val="22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6"/>
        <w:gridCol w:w="814"/>
        <w:gridCol w:w="1098"/>
        <w:gridCol w:w="867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Изменение цены сделки после отгрузки предмета сделки есть основание для исправления ошибок, допущенных в прошлых периодах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 НК РФ, изменение договора, исправление ошибок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09.12.25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03-03-06/1/119233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Пороки в деятельности и налоговой дисциплине не могут быть безусловным основанием для отказа в применении обоснованной налоговой выгоды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осторожность, осмотрительность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А65-14024/2025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Уплата административного штрафа в льготный период в полном размере не лишает права на возврат излишне уплаченной суммы штрафа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32.2 КоАП РФ, административный штраф, льгота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13.03.26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14-П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Направление требования об уплате налога и (или) решения о взыскании налога за счёт имущества налогоплательщика не являются обязательными условиями для взыскания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46 НК РФ, статья 47 НК РФ, требования об уплате налога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Апелляционное 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03.03.26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АПД26-24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рамках дела о банкротстве конкурсный управляющий правомерно истребовал у работника в конкурсную массу необоснованно полученную заработную плату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Закон о банкротстве, конкурсная масса, заработная плата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02.03.26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308-ЭС22-17007(7)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отношении имущества, принадлежащего лицам на праве общей собственности, расходы сособственники несут в соответствующих долях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ГК РФ, статья 249 ГК РФ, содержание общего имущества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02.03.26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302-ЭС26-640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Лицо, в отношении которого проводится налоговая проверка не может быть опрошен в качестве свидетеля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88 НК РФ, статья 89 НК РФ, статья 90 НК РФ, опрос свидетеля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05.03.26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12-П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Возникновение права собственности на помещение в здании автоматически порождает долю в вещном праве, на котором земельный участок принадлежит собственнику здания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552 ГК РФ, статья 35 ГК РФ, общая долевая собственность, здание, земельный участок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ВВО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18.04.25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Ф01-775/2025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Структурирование бизнеса не всегда есть схема дробления бизнеса, если имеется соответствующее экономическое обоснование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дробление бизнеса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26.01.26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310-ЭС25-14004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10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Пороки в деятельности и налоговой дисциплине не могут быть безусловным основанием для отказа в применении обоснованной налоговой выгоды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осторожность, осмотрительность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16.12.25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А65-7526/2025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Пороки в деятельности и налоговой дисциплине не могут быть безусловным основанием для отказа в применении обоснованной налоговой выгоды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осторожность, осмотрительность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УО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А71-4007/2024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12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выборе контрагента налогоплательщиком не были приняты меры разумной осторожности и осмотрительности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осторожность, осмотрительность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МО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01.12.25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А40-300407/2024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Реальность отношений с агентами документально не подтверждена, что есть злоупотребление правом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агентский договор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СЗО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18.12.25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А56-77771/2023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Возмещение коммунальных платежей в рамках договора аренды, получаемых арендодателем по договору поручения, признали доходом арендодателя, поскольку указанные расходы являются необходимыми для исполнения договора аренды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НК РФ, возмещение коммунальных платежей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ВАС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12.07.11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9149/10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Гражданское законодательство исходит из принципа полного возмещения ущерба, если иное прямо не предусмотрено законодательством Российской Федерации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15 ГК РФ, статья 1064 ГК РФ, возмещение убытков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24.02.26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8-П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Налоговый орган не смог доказать фиктивность субподрядных отношений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54.1 НК РФ, фиктивные субподрядные работы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УО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04.02.26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А76-12540/2023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Излишне перечисленная организацией сумма алиментов подлежит взысканию с получателя как неосновательное обогащение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1002 ГК РФ, статья 1009 ГК РФ, неосновательное обогащение, счётная ошибка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4-КГ25-75-К1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Трёхлетний срок на ограничение прав в рамках ЕГРЮЛ для директора должен отсчитываться с момента увольнения и самостоятельной подачи заявления о недостоверности сведения о руководителе организации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ЕГРЮЛ, полномочия директора, недостоверность сведений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04.02.26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305-ЭС25-10649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Установлены критерии нелегальной занятости при взаимодействии с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самозанятыми</w:t>
            </w:r>
            <w:proofErr w:type="spellEnd"/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НПД,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самозанятость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>, нелегальная занятость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Приказ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Минтруд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19.11.25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657Н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20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Премии сотрудникам, достигших одинаковых показателей, должны быть одинаковыми, а в целом по организации - сопоставимыми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135 ТК РФ, обоснованность премии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25.12.25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3263-О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необоснованности затрат по государственному оборонному заказу с примерной ценой, определяемой по итогам исполнения контракта, таковые могут не приниматься заказчиком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Государственный оборонный заказ, необоснованные затраты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25.12.25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3426-О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Регистрация в нежилых помещениях, функционально предназначенных для проживания граждан, допустима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ЖК РФ, регистрация, место проживания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4-П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Нарушение сроков выездной налоговой проверки стало основанием для отказа в взыскании </w:t>
            </w: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недоимки в связи с пропуском соответствующих сроков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 xml:space="preserve">Статья 89 НК РФ, статья 100 НК РФ, статья 101 НК РФ, </w:t>
            </w: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нарушение сроков, отказ во взыскании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 xml:space="preserve">Постановление 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СЗО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21.01.26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А56-1627/2024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24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Сбор персональных данных для личных целей или для защиты своих прав может осуществляться без всяких разрешений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Закон №152-ФЗ, персональные данные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20.03.25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25-АД25-1-К4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Налоговые органы вправе применять обеспечительные меры в отношении дебиторской задолженности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77 НК РФ, статья 101 НК РФ, обеспечительные меры, имущественные права, дебиторская задолженность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ФНС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19.01.26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Д-18-18/2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Утверждены рекомендации по проведению аудита годовой бухгалтерской отчётности за 2024 год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Годовая бухгалтерская отчётность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22.01.26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07-04-09/3478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Ограничение оборота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криптовалюты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 xml:space="preserve"> не может быть основанием для лишения права на судебную защиту в отношении операций и убытков с таковой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Статья 129 ГК РФ, объекты гражданских прав,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криптовалюта</w:t>
            </w:r>
            <w:proofErr w:type="spellEnd"/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20.01.26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2-П</w:t>
            </w:r>
          </w:p>
        </w:tc>
      </w:tr>
    </w:tbl>
    <w:p w:rsidR="00D10805" w:rsidRPr="00FF6C89" w:rsidRDefault="00D10805" w:rsidP="00D10805">
      <w:pPr>
        <w:rPr>
          <w:rFonts w:ascii="Tahoma" w:hAnsi="Tahoma"/>
          <w:sz w:val="18"/>
          <w:szCs w:val="18"/>
        </w:rPr>
      </w:pPr>
    </w:p>
    <w:p w:rsidR="00D10805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Налог на добавленную стоимость (НДС)</w:t>
      </w:r>
    </w:p>
    <w:p w:rsidR="00D10805" w:rsidRPr="00FF6C89" w:rsidRDefault="00D10805" w:rsidP="00D10805">
      <w:pPr>
        <w:jc w:val="center"/>
        <w:rPr>
          <w:rFonts w:ascii="Times New Roman" w:hAnsi="Times New Roman"/>
          <w:b/>
          <w:szCs w:val="24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2"/>
        <w:gridCol w:w="814"/>
        <w:gridCol w:w="1093"/>
        <w:gridCol w:w="876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отношении транспортно-экспедиционных услуг по организации перевозки по территории Российской Федерации в рамках международной перевозки не может применяться ставка НДС в размере 0%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164 НК РФ, ставка 0%, транспортно-экспедиционные услуги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МФ РФ 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03-07-08/117329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признании сделки недействительной и проведении двухсторонней реституции право налоговый вычет должен быть применён в течение одного года с момента таковой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171 НК РФ, статья 172 НК РФ, реституция, вычет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МО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02.02.26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А41-100191/2024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продаже здания в целях исчисления НДС необходимо анализировать и стоимость земельного участка, который автоматически переходит к покупателю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146 НК РФ, статья 149 НК РФ, здание, земельный участок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02.06.25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309-ЭС25-3700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продаже здания в целях исчисления НДС необходимо анализировать и стоимость земельного участка, который автоматически переходит к покупателю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146 НК РФ, статья 149 НК РФ, здание, земельный участок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26.02.26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309-ЭС25-14760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Возмещение коммунальных платежей в рамках договора аренды, получаемых арендодателем по договору поручения, признали доходом арендодателя, поскольку указанные расходы являются необходимыми для исполнения договора аренды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НК РФ, возмещение коммунальных платежей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ВАС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12.07.11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9149/10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Разъяснены правила исполнения обязанности налогового агента в отношении операций с медными полуфабрикатами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15.12.25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03-07-11/121856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Налоговый орган смог доказать выбытие материалов рамках скрытой реализации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146 НК РФ, недостача, скрытая реализация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10.02.26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301-ЭС25-15782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Налоговый орган не смог доказать выбытие материалов рамках скрытой реализации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146 НК РФ, недостача, скрытая реализация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306-ЭС25-15778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получении казённого имущества в безвозмездное пользование ссудополучатель обязан исполнить обязанность налогового агента с суммы рыночной арендной платы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161 НК РФ, аренда государственного имущества, налоговый агент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30.10.25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03-03-06/1/105311</w:t>
            </w:r>
          </w:p>
        </w:tc>
      </w:tr>
    </w:tbl>
    <w:p w:rsidR="00D10805" w:rsidRDefault="00D10805" w:rsidP="00D10805">
      <w:pPr>
        <w:jc w:val="center"/>
        <w:rPr>
          <w:rFonts w:ascii="Times New Roman" w:hAnsi="Times New Roman"/>
          <w:b/>
          <w:szCs w:val="24"/>
        </w:rPr>
      </w:pPr>
    </w:p>
    <w:p w:rsidR="00D10805" w:rsidRPr="00FF6C89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Налог на прибыль организаций</w:t>
      </w:r>
    </w:p>
    <w:p w:rsidR="008E7916" w:rsidRDefault="008E7916">
      <w:pPr>
        <w:rPr>
          <w:rFonts w:ascii="Tahoma" w:hAnsi="Tahoma"/>
          <w:sz w:val="22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2"/>
        <w:gridCol w:w="814"/>
        <w:gridCol w:w="1093"/>
        <w:gridCol w:w="876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Расходы на страхование гражданской ответственности руководителя организации за убытки, причинённые организации, могут учитываться при исчислении налога на прибыль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263 НК РФ, страхование ответственности, руководитель организации, убытки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МФ РФ 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03-03-06/2/123040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Территориальные доплаты работникам может учитываться при исчислении налога на прибыль, если таковая экономически обоснована и предусмотрена локальными трудовыми актами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255 НК РФ, заработная плата, территориальная доплата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04.12.25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03-03-06/1/117890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Возмещение коммунальных платежей в рамках договора аренды, получаемых арендодателем по договору поручения, признали доходом арендодателя, поскольку указанные расходы являются необходимыми для исполнения договора аренды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НК РФ, возмещение коммунальных платежей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ВАС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12.07.11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9149/10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Для целей исчисления налога на прибыль убыток может быть перенесён, но только при условии его надлежащего подтверждения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252 НК РФ, статья 283 НК РФ, перенос убытка, документальное подтверждение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ВСО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Ф02-5510/2024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Отсутствие детализации в акте оказанных услуг и иных сопутствующих документов может быть основанием для признания расходов необоснованными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252 НК РФ, документальное обоснование расходов, акт оказанных услуг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СЗО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02.10.24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А56-36455/2023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Расходы, не давшие результата, также могут быть экономически обоснованными при наличии разумной деловой цели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252 НК РФ, статья 265 НК РФ, экономически обоснованные расходы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СКО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17.01.23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А63-16488/2021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Признание процентов по договору займа, который использовался для предоставления беспроцентных займов, неправомерно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262 НК РФ, статья 265 НК РФ, проценты по займу, беспроцентный заём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УО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09.02.23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Ф09-135/23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Вклад в имущество в виде кредиторской задолженности в целях её списания без учёта в составе доходов есть злоупотребление правом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250 НК РФ, статья 251 НК РФ, вклад в имущество, кредиторская задолженность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10.05.23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304-ЭС23-5571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Поскольку осуществляемые налогоплательщиком капитальные вложения были направлены на создание амортизируемого имущества, то в случае их переквалификации в убытки таковые учитываются в целях налогообложения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252 НК РФ, статья 265 НК РФ, капитальные вложения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305-ЭС23-9015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10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Налогоплательщик смог обосновать материальные потери в процессе выпуска продукции данными инвентарного учёта и технологическими документами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254 НК РФ, технологические потери, инвентарный учёт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306-ЭС25-15778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выплате российским лицом иностранной организации доходов за оказание услуг по международной перевозке с таковых должен быть удержан налог у источника выплаты в Российской Федерации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309 НК РФ, статья 310 НК РФ, международная перевозка, транспортная экспедиция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СЗО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28.01.26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А56-9941/2025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Расходы на стипендии студентам целевого обучения, если таковые предусмотрены договорами со студентами, могут включаться в состав затрат по налогу на прибыль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264 НК РФ, целевое обучение, стипендия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29.10.25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03-03-06/1/104960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Разъяснены вопросы списания на затраты лизинговых платежей и выкупной стоимости предмета лизинга у лизингополучателя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264 НК РФ, лизинговые платежи, выкупная стоимость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07.10.25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03-03-06/1/96850</w:t>
            </w:r>
          </w:p>
        </w:tc>
      </w:tr>
    </w:tbl>
    <w:p w:rsidR="008E7916" w:rsidRDefault="008E7916">
      <w:pPr>
        <w:rPr>
          <w:rFonts w:ascii="Tahoma" w:hAnsi="Tahoma"/>
          <w:sz w:val="22"/>
        </w:rPr>
      </w:pPr>
    </w:p>
    <w:p w:rsidR="00D10805" w:rsidRPr="00FF6C89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Страховые взносы</w:t>
      </w:r>
    </w:p>
    <w:p w:rsidR="008E7916" w:rsidRDefault="008E7916">
      <w:pPr>
        <w:rPr>
          <w:rFonts w:ascii="Tahoma" w:hAnsi="Tahoma"/>
          <w:sz w:val="22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2"/>
        <w:gridCol w:w="814"/>
        <w:gridCol w:w="1093"/>
        <w:gridCol w:w="876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Даже если генеральному директору обоснованно были начислены суммы, не облагаемые страховыми взносами, то база для начисления страховых взносов всё равно должна составить МРОТ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421 НК РФ, генеральный директор, МРОТ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03-15-05/122955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составе контрольных соотношений по РСВ предусмотрено сравнение данных по начислениям страховых взносов с данными по счетам на выплаты физическим лицам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420 НК РФ, статья 422 НК РФ, необлагаемые выплаты, контрольные соотношения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ФНС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24.02.26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БС-36-11/1367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Разъяснены вопросы начисления страховых взносов с выплат руководителям организаций, не превышающих МРОТ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421 НК РФ, генеральный директор, МРОТ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МФ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23.01.26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03-15-05/4098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Исключение налогоплательщика из реестра СМП не является безусловным основанием для отказа в применении пониженного размера страховых взносов, если последний </w:t>
            </w: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соответствует всем установленным критериям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Статья 427 НК РФ, реестр СМП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29.01.26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306-ЭС25-14392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начислениях директору менее МРОТ исчисление исходя из МРОТ производят и страхователи, применяющие АУСН, но по тарифу равному 0,0%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421 НК РФ, директор, МРОТ, АУСН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ФНС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15.01.26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БС-4-11/117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Правительство Российской Федерации утвердило перечень видов деятельности, в отношении которых могут применяться пониженные тарифы страховых взносов для субъектов МСП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427 НК РФ, пониженные тарифы, субъекты МСП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Распоряжение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Правительство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27.12.25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4125-р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Санкт-Петербурге с 01.01.2026 года установлен региональный МРОТ в размере 31 250 рублей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133.1 ТК РФ, региональный МРОТ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Региональное соглашение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8E7916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395/25-С</w:t>
            </w:r>
          </w:p>
        </w:tc>
      </w:tr>
    </w:tbl>
    <w:p w:rsidR="008E7916" w:rsidRDefault="008E7916">
      <w:pPr>
        <w:rPr>
          <w:rFonts w:ascii="Tahoma" w:hAnsi="Tahoma"/>
          <w:sz w:val="22"/>
        </w:rPr>
      </w:pPr>
    </w:p>
    <w:p w:rsidR="008E7916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Налог на доходы физических лиц (НДФЛ)</w:t>
      </w:r>
    </w:p>
    <w:p w:rsidR="00D10805" w:rsidRPr="00D10805" w:rsidRDefault="00D10805" w:rsidP="00D10805">
      <w:pPr>
        <w:jc w:val="center"/>
        <w:rPr>
          <w:rFonts w:ascii="Times New Roman" w:hAnsi="Times New Roman"/>
          <w:b/>
          <w:szCs w:val="24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2"/>
        <w:gridCol w:w="814"/>
        <w:gridCol w:w="1093"/>
        <w:gridCol w:w="876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Выплата дохода плательщику НПД в виде процентов по договору займа не освобождает налогового агента от удержания НДФЛ, поскольку указанные доходы являются "пассивными" доходами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226 НК РФ, НПД, проценты по займам, "пассивные" доходы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19.02.26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304-ЭС25-15326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Налоговый орган правомерно переквалифицировал отношения с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самозанятым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 xml:space="preserve"> лицом в трудовые отношения,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доначислив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 xml:space="preserve"> страховые взносы и НДФЛ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Статья 210 НК РФ, статья 54.1 НК РФ,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самозанятость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>, трудовые отношения, переквалификация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ДО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27.02.26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А04-2065/2025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Возмещение коммунальных платежей в рамках договора аренды, получаемых арендодателем по договору поручения, признали доходом арендодателя, поскольку указанные расходы являются необходимыми для исполнения договора аренды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НК РФ, возмещение коммунальных платежей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ВАС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12.07.11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9149/10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НДФЛ может начисляться при мене объектов недвижимости, имеющих разную кадастровую стоимость, только если доказана разница в их рыночной оценке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210 НК РФ, мена, кадастровая стоимость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КС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15.01.26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1-П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Разъяснены вопросы уплаты НДФЛ с дивидендов, которые начислены непропорционально долям в уставном капитале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41 НК РФ, статья 210 НК РФ, статья 214 НК РФ, дивиденды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ФНС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28.11.25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11-1-04/0027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Налоговый орган правомерно переквалифицировал договор о передаче функций единоличного органа индивидуальному предпринимателю в трудовой договор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208 НК РФ, статья 226 НК РФ, индивидуальный предприниматель, трудовые отношения, переквалификация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301-ЭС25-13399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lastRenderedPageBreak/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Выплата дохода плательщику НПД в виде процентов по договору займа не освобождает налогового агента от удержания НДФЛ, поскольку указанные доходы являются "пассивными" доходами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226 НК РФ, НПД, проценты по займам, "пассивные" доходы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ЗСО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11.11.25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А27-7099/2025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Возврат излишне удержанного НДФЛ осуществляется налоговым агентом за счёт общих перечислений НДФЛ, а при невозможности - налоговым органом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226 НК РФ, статья 230 НК РФ, возврат излишне удержанного НДФЛ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28.11.25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305-ЭС24-14819</w:t>
            </w:r>
          </w:p>
        </w:tc>
      </w:tr>
    </w:tbl>
    <w:p w:rsidR="008E7916" w:rsidRDefault="008E7916">
      <w:pPr>
        <w:rPr>
          <w:rFonts w:ascii="Tahoma" w:hAnsi="Tahoma"/>
          <w:sz w:val="22"/>
        </w:rPr>
      </w:pPr>
    </w:p>
    <w:p w:rsidR="00D10805" w:rsidRPr="00FF6C89" w:rsidRDefault="00D10805" w:rsidP="00D10805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Имущественные налоги</w:t>
      </w:r>
    </w:p>
    <w:p w:rsidR="008E7916" w:rsidRDefault="008E7916">
      <w:pPr>
        <w:rPr>
          <w:rFonts w:ascii="Tahoma" w:hAnsi="Tahoma"/>
          <w:sz w:val="22"/>
        </w:rPr>
      </w:pPr>
    </w:p>
    <w:tbl>
      <w:tblPr>
        <w:tblW w:w="1077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0"/>
        <w:gridCol w:w="4029"/>
        <w:gridCol w:w="2389"/>
        <w:gridCol w:w="1082"/>
        <w:gridCol w:w="814"/>
        <w:gridCol w:w="1093"/>
        <w:gridCol w:w="876"/>
      </w:tblGrid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Оборудование, смонтированное в здании в составе технологической цепочки, не может однозначно квалифицироваться в качестве недвижимого имущества, если возможен демонтаж и перенос такового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374 НК РФ, недвижимость, движимое имущество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ПО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21.01.26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А55-19378/2022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Неправомерное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невключение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 xml:space="preserve"> объекта недвижимости в перечень таковых, облагаемых по кадастровой стоимости, есть нарушение прав налогоплательщика, подлежащее защите в судебном порядке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 xml:space="preserve">Статья 378.2 НК РФ, кадастровая стоимость, </w:t>
            </w:r>
            <w:proofErr w:type="spellStart"/>
            <w:r>
              <w:rPr>
                <w:rFonts w:ascii="Tahoma" w:hAnsi="Tahoma"/>
                <w:color w:val="000000" w:themeColor="dark1"/>
                <w:sz w:val="22"/>
              </w:rPr>
              <w:t>невключение</w:t>
            </w:r>
            <w:proofErr w:type="spellEnd"/>
            <w:r>
              <w:rPr>
                <w:rFonts w:ascii="Tahoma" w:hAnsi="Tahoma"/>
                <w:color w:val="000000" w:themeColor="dark1"/>
                <w:sz w:val="22"/>
              </w:rPr>
              <w:t xml:space="preserve"> в Перечень, оспаривание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10.02.26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307-ЭС25-12621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При списании основного средства (недвижимости) с баланса в целях исчисления налога на имущество организаций должны учитываться обстоятельства, связанные с фиксацией прав на данное имущество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374 НК РФ, основное средство, недвижимость, регистрация прав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Письмо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ФНС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03.02.26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БС-35-21/830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 отношении объектов, предусмотренных статьёй 378.2 НК РФ, налог на имущество подлежит начислению независимо от счёта учёта такого имущества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374 НК РФ, статья 378.2 НК РФ, основное средство, кадастровая стоимость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Определение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ВС РФ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29.12.25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305-ЭС25-13413</w:t>
            </w:r>
          </w:p>
        </w:tc>
      </w:tr>
      <w:tr w:rsidR="008E7916" w:rsidTr="00D10805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Оборудование, смонтированное в здании для его обслуживания и комфортного использования, не может автоматически быть отнесённым на увеличение стоимости здания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Статья 374 НК РФ, недвижимость, движимое имущество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left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Постановление</w:t>
            </w:r>
          </w:p>
        </w:tc>
        <w:tc>
          <w:tcPr>
            <w:tcW w:w="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ФАС УО</w:t>
            </w:r>
          </w:p>
        </w:tc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17.09.25</w:t>
            </w:r>
          </w:p>
        </w:tc>
        <w:tc>
          <w:tcPr>
            <w:tcW w:w="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7916" w:rsidRDefault="00D10805">
            <w:pPr>
              <w:jc w:val="center"/>
              <w:rPr>
                <w:rFonts w:ascii="Tahoma" w:hAnsi="Tahoma"/>
                <w:color w:val="000000" w:themeColor="dark1"/>
                <w:sz w:val="22"/>
              </w:rPr>
            </w:pPr>
            <w:r>
              <w:rPr>
                <w:rFonts w:ascii="Tahoma" w:hAnsi="Tahoma"/>
                <w:color w:val="000000" w:themeColor="dark1"/>
                <w:sz w:val="22"/>
              </w:rPr>
              <w:t>А76-14187/2024</w:t>
            </w:r>
          </w:p>
        </w:tc>
      </w:tr>
    </w:tbl>
    <w:p w:rsidR="008E7916" w:rsidRDefault="008E7916">
      <w:pPr>
        <w:rPr>
          <w:rFonts w:ascii="Tahoma" w:hAnsi="Tahoma"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D10805" w:rsidRDefault="00D10805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D10805" w:rsidRPr="004F55AC" w:rsidRDefault="00D10805" w:rsidP="00D10805">
      <w:pPr>
        <w:jc w:val="center"/>
        <w:rPr>
          <w:b/>
          <w:sz w:val="22"/>
        </w:rPr>
      </w:pPr>
      <w:r>
        <w:rPr>
          <w:b/>
          <w:sz w:val="22"/>
        </w:rPr>
        <w:t>Информационные чаты</w:t>
      </w:r>
      <w:r w:rsidRPr="000078C6">
        <w:rPr>
          <w:b/>
          <w:sz w:val="22"/>
        </w:rPr>
        <w:t xml:space="preserve"> «Центра финансовых экспертиз»</w:t>
      </w:r>
      <w:r>
        <w:rPr>
          <w:b/>
          <w:sz w:val="22"/>
        </w:rPr>
        <w:t xml:space="preserve"> в </w:t>
      </w:r>
      <w:r>
        <w:rPr>
          <w:b/>
          <w:sz w:val="22"/>
          <w:lang w:val="en-US"/>
        </w:rPr>
        <w:t>MAX</w:t>
      </w:r>
    </w:p>
    <w:p w:rsidR="00D10805" w:rsidRDefault="00D10805" w:rsidP="00D10805">
      <w:pPr>
        <w:jc w:val="center"/>
        <w:rPr>
          <w:b/>
          <w:sz w:val="22"/>
        </w:rPr>
      </w:pPr>
      <w:r>
        <w:rPr>
          <w:b/>
          <w:sz w:val="22"/>
        </w:rPr>
        <w:t xml:space="preserve">(для участников </w:t>
      </w:r>
      <w:proofErr w:type="spellStart"/>
      <w:r>
        <w:rPr>
          <w:b/>
          <w:sz w:val="22"/>
        </w:rPr>
        <w:t>профсообщества</w:t>
      </w:r>
      <w:proofErr w:type="spellEnd"/>
      <w:r>
        <w:rPr>
          <w:b/>
          <w:sz w:val="22"/>
        </w:rPr>
        <w:t xml:space="preserve"> «Экспертный Совет»</w:t>
      </w:r>
      <w:r w:rsidR="004F55AC">
        <w:rPr>
          <w:b/>
          <w:sz w:val="22"/>
        </w:rPr>
        <w:t xml:space="preserve"> - секции Бюджет и Бизнес)</w:t>
      </w: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Default="004F55AC" w:rsidP="00D10805">
      <w:pPr>
        <w:jc w:val="center"/>
        <w:rPr>
          <w:b/>
          <w:sz w:val="22"/>
        </w:rPr>
      </w:pPr>
    </w:p>
    <w:p w:rsidR="004F55AC" w:rsidRPr="00D10805" w:rsidRDefault="004F55AC" w:rsidP="00D10805">
      <w:pPr>
        <w:jc w:val="center"/>
        <w:rPr>
          <w:b/>
          <w:sz w:val="22"/>
        </w:rPr>
      </w:pPr>
    </w:p>
    <w:p w:rsidR="00D10805" w:rsidRDefault="00D10805" w:rsidP="00D10805">
      <w:pPr>
        <w:pStyle w:val="ac"/>
        <w:rPr>
          <w:rFonts w:ascii="Tahoma" w:hAnsi="Tahoma"/>
          <w:sz w:val="22"/>
        </w:rPr>
      </w:pP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noProof/>
        </w:rPr>
        <w:drawing>
          <wp:inline distT="0" distB="0" distL="0" distR="0" wp14:anchorId="503C1B0E" wp14:editId="7D407313">
            <wp:extent cx="2012569" cy="2997200"/>
            <wp:effectExtent l="0" t="0" r="6985" b="0"/>
            <wp:docPr id="1" name="Рисунок 1" descr="C:\Data\ЦФЭОформление\Горячая линия бюдж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Горячая линия бюджет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919" cy="305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noProof/>
        </w:rPr>
        <w:drawing>
          <wp:inline distT="0" distB="0" distL="0" distR="0" wp14:anchorId="3E058374" wp14:editId="2BF6E0D7">
            <wp:extent cx="1997107" cy="2959100"/>
            <wp:effectExtent l="0" t="0" r="3175" b="0"/>
            <wp:docPr id="2" name="Рисунок 2" descr="C:\Data\ЦФЭОформление\Горячая линия бизне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Горячая линия бизнес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721" cy="303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5AC" w:rsidRDefault="004F55AC" w:rsidP="00D10805">
      <w:pPr>
        <w:pStyle w:val="ac"/>
        <w:rPr>
          <w:rFonts w:ascii="Tahoma" w:hAnsi="Tahoma"/>
          <w:sz w:val="22"/>
        </w:rPr>
      </w:pPr>
    </w:p>
    <w:p w:rsidR="004F55AC" w:rsidRDefault="004F55AC" w:rsidP="004F55AC">
      <w:pPr>
        <w:jc w:val="center"/>
        <w:rPr>
          <w:b/>
          <w:noProof/>
          <w:sz w:val="20"/>
        </w:rPr>
      </w:pPr>
    </w:p>
    <w:p w:rsidR="004F55AC" w:rsidRPr="000078C6" w:rsidRDefault="004F55AC" w:rsidP="004F55AC">
      <w:pPr>
        <w:jc w:val="center"/>
        <w:rPr>
          <w:rFonts w:cs="Courier New"/>
          <w:b/>
          <w:noProof/>
          <w:sz w:val="20"/>
        </w:rPr>
      </w:pPr>
    </w:p>
    <w:p w:rsidR="004F55AC" w:rsidRPr="000078C6" w:rsidRDefault="004F55AC" w:rsidP="004F55AC">
      <w:pPr>
        <w:jc w:val="center"/>
        <w:rPr>
          <w:rFonts w:cs="Courier New"/>
          <w:b/>
          <w:sz w:val="20"/>
        </w:rPr>
      </w:pPr>
      <w:r>
        <w:rPr>
          <w:rFonts w:cs="Courier New"/>
          <w:b/>
          <w:sz w:val="20"/>
        </w:rPr>
        <w:t>КОНТАКТЫ</w:t>
      </w:r>
    </w:p>
    <w:p w:rsidR="004F55AC" w:rsidRPr="000078C6" w:rsidRDefault="004F55AC" w:rsidP="004F55AC">
      <w:pPr>
        <w:pStyle w:val="ad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(812) 920-12-14, (911) 920-12-14 МТС (ЦФЭ Клиент-Менеджер)</w:t>
      </w:r>
    </w:p>
    <w:p w:rsidR="004F55AC" w:rsidRPr="000078C6" w:rsidRDefault="004F55AC" w:rsidP="004F55AC">
      <w:pPr>
        <w:pStyle w:val="ad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(995) 231-95-43 Теле2 (ЦФЭ Семинар для бухгалтера)</w:t>
      </w:r>
    </w:p>
    <w:p w:rsidR="004F55AC" w:rsidRPr="000078C6" w:rsidRDefault="004F55AC" w:rsidP="004F55AC">
      <w:pPr>
        <w:pStyle w:val="ad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 xml:space="preserve">(911) 992-65-69 </w:t>
      </w:r>
      <w:r w:rsidRPr="000078C6">
        <w:rPr>
          <w:rFonts w:ascii="Courier New" w:hAnsi="Courier New" w:cs="Courier New"/>
          <w:b/>
          <w:lang w:val="en-US"/>
        </w:rPr>
        <w:t>MTC</w:t>
      </w:r>
      <w:r w:rsidRPr="000078C6">
        <w:rPr>
          <w:rFonts w:ascii="Courier New" w:hAnsi="Courier New" w:cs="Courier New"/>
          <w:b/>
        </w:rPr>
        <w:t xml:space="preserve"> (Центр финансовых экспертиз - руководитель)</w:t>
      </w:r>
    </w:p>
    <w:p w:rsidR="004F55AC" w:rsidRDefault="004F55AC" w:rsidP="004F55AC">
      <w:pPr>
        <w:jc w:val="center"/>
        <w:rPr>
          <w:b/>
          <w:noProof/>
          <w:sz w:val="20"/>
        </w:rPr>
      </w:pPr>
    </w:p>
    <w:p w:rsidR="004F55AC" w:rsidRDefault="004F55AC" w:rsidP="004F55AC">
      <w:pPr>
        <w:jc w:val="center"/>
        <w:rPr>
          <w:b/>
          <w:noProof/>
          <w:sz w:val="20"/>
        </w:rPr>
      </w:pPr>
    </w:p>
    <w:p w:rsidR="004F55AC" w:rsidRDefault="004F55AC" w:rsidP="004F55AC">
      <w:pPr>
        <w:jc w:val="center"/>
        <w:rPr>
          <w:b/>
          <w:noProof/>
          <w:sz w:val="20"/>
        </w:rPr>
      </w:pPr>
      <w:bookmarkStart w:id="0" w:name="_GoBack"/>
      <w:bookmarkEnd w:id="0"/>
    </w:p>
    <w:p w:rsidR="004F55AC" w:rsidRDefault="004F55AC" w:rsidP="004F55AC">
      <w:pPr>
        <w:jc w:val="center"/>
        <w:rPr>
          <w:b/>
          <w:noProof/>
          <w:sz w:val="20"/>
        </w:rPr>
      </w:pPr>
    </w:p>
    <w:p w:rsidR="004F55AC" w:rsidRDefault="004F55AC" w:rsidP="004F55AC">
      <w:pPr>
        <w:jc w:val="center"/>
        <w:rPr>
          <w:b/>
          <w:noProof/>
          <w:sz w:val="20"/>
        </w:rPr>
      </w:pPr>
    </w:p>
    <w:p w:rsidR="004F55AC" w:rsidRPr="000078C6" w:rsidRDefault="004F55AC" w:rsidP="004F55AC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 xml:space="preserve">НАШ ИДЕНТИФИКАТОР В ЭДО (СБИС) </w:t>
      </w:r>
    </w:p>
    <w:p w:rsidR="004F55AC" w:rsidRPr="00BE2347" w:rsidRDefault="004F55AC" w:rsidP="004F55AC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2BEdc9b36e2120a4ec59f316e4f43bfb9b4</w:t>
      </w:r>
    </w:p>
    <w:p w:rsidR="004F55AC" w:rsidRDefault="004F55AC" w:rsidP="00D10805">
      <w:pPr>
        <w:pStyle w:val="ac"/>
        <w:rPr>
          <w:rFonts w:ascii="Tahoma" w:hAnsi="Tahoma"/>
          <w:sz w:val="22"/>
        </w:rPr>
      </w:pPr>
    </w:p>
    <w:p w:rsidR="004F55AC" w:rsidRPr="00D10805" w:rsidRDefault="004F55AC" w:rsidP="00D10805">
      <w:pPr>
        <w:pStyle w:val="ac"/>
      </w:pPr>
    </w:p>
    <w:sectPr w:rsidR="004F55AC" w:rsidRPr="00D10805" w:rsidSect="00D10805">
      <w:footerReference w:type="default" r:id="rId8"/>
      <w:pgSz w:w="11908" w:h="16848"/>
      <w:pgMar w:top="709" w:right="283" w:bottom="283" w:left="283" w:header="85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AB8" w:rsidRDefault="00F02AB8" w:rsidP="00D10805">
      <w:r>
        <w:separator/>
      </w:r>
    </w:p>
  </w:endnote>
  <w:endnote w:type="continuationSeparator" w:id="0">
    <w:p w:rsidR="00F02AB8" w:rsidRDefault="00F02AB8" w:rsidP="00D1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2239309"/>
      <w:docPartObj>
        <w:docPartGallery w:val="Page Numbers (Bottom of Page)"/>
        <w:docPartUnique/>
      </w:docPartObj>
    </w:sdtPr>
    <w:sdtContent>
      <w:p w:rsidR="00D10805" w:rsidRDefault="00D1080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55AC">
          <w:rPr>
            <w:noProof/>
          </w:rPr>
          <w:t>8</w:t>
        </w:r>
        <w:r>
          <w:fldChar w:fldCharType="end"/>
        </w:r>
      </w:p>
    </w:sdtContent>
  </w:sdt>
  <w:p w:rsidR="00D10805" w:rsidRDefault="00D108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AB8" w:rsidRDefault="00F02AB8" w:rsidP="00D10805">
      <w:r>
        <w:separator/>
      </w:r>
    </w:p>
  </w:footnote>
  <w:footnote w:type="continuationSeparator" w:id="0">
    <w:p w:rsidR="00F02AB8" w:rsidRDefault="00F02AB8" w:rsidP="00D108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16"/>
    <w:rsid w:val="002F0393"/>
    <w:rsid w:val="004F55AC"/>
    <w:rsid w:val="008E7916"/>
    <w:rsid w:val="00D10805"/>
    <w:rsid w:val="00F0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14F9A7-4AB6-4B79-BE2F-9B96A0E5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D1080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0805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D108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10805"/>
    <w:rPr>
      <w:rFonts w:ascii="Courier New" w:hAnsi="Courier New"/>
    </w:rPr>
  </w:style>
  <w:style w:type="paragraph" w:styleId="ac">
    <w:name w:val="Normal (Web)"/>
    <w:basedOn w:val="a"/>
    <w:uiPriority w:val="99"/>
    <w:unhideWhenUsed/>
    <w:rsid w:val="00D10805"/>
    <w:pPr>
      <w:spacing w:before="100" w:beforeAutospacing="1" w:after="100" w:afterAutospacing="1"/>
      <w:jc w:val="left"/>
    </w:pPr>
    <w:rPr>
      <w:rFonts w:ascii="Times New Roman" w:hAnsi="Times New Roman"/>
      <w:color w:val="auto"/>
      <w:szCs w:val="24"/>
    </w:rPr>
  </w:style>
  <w:style w:type="paragraph" w:customStyle="1" w:styleId="ad">
    <w:name w:val="Таблица"/>
    <w:basedOn w:val="a"/>
    <w:rsid w:val="004F55AC"/>
    <w:pPr>
      <w:widowControl w:val="0"/>
      <w:autoSpaceDE w:val="0"/>
      <w:autoSpaceDN w:val="0"/>
      <w:adjustRightInd w:val="0"/>
      <w:spacing w:before="20" w:after="20"/>
      <w:jc w:val="left"/>
    </w:pPr>
    <w:rPr>
      <w:rFonts w:ascii="Times New Roman" w:hAnsi="Times New Roman"/>
      <w:color w:val="auto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3</cp:revision>
  <dcterms:created xsi:type="dcterms:W3CDTF">2026-03-24T07:28:00Z</dcterms:created>
  <dcterms:modified xsi:type="dcterms:W3CDTF">2026-03-24T07:39:00Z</dcterms:modified>
</cp:coreProperties>
</file>