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BC7" w:rsidRPr="0096729B" w:rsidRDefault="00717BC7" w:rsidP="00717BC7">
      <w:pPr>
        <w:jc w:val="center"/>
        <w:rPr>
          <w:rFonts w:ascii="Times New Roman" w:hAnsi="Times New Roman"/>
          <w:b/>
          <w:szCs w:val="24"/>
        </w:rPr>
      </w:pPr>
      <w:r w:rsidRPr="0096729B">
        <w:rPr>
          <w:rFonts w:ascii="Times New Roman" w:hAnsi="Times New Roman"/>
          <w:b/>
          <w:szCs w:val="24"/>
        </w:rPr>
        <w:t>НОВЫЕ ДОКУМЕНТЫ К РАС</w:t>
      </w:r>
      <w:r w:rsidR="00FF6C89">
        <w:rPr>
          <w:rFonts w:ascii="Times New Roman" w:hAnsi="Times New Roman"/>
          <w:b/>
          <w:szCs w:val="24"/>
        </w:rPr>
        <w:t>СМОТРЕНИЮ НА СЕМИНАРАХ – 2026 (1</w:t>
      </w:r>
      <w:r w:rsidRPr="0096729B">
        <w:rPr>
          <w:rFonts w:ascii="Times New Roman" w:hAnsi="Times New Roman"/>
          <w:b/>
          <w:szCs w:val="24"/>
        </w:rPr>
        <w:t>)</w:t>
      </w:r>
    </w:p>
    <w:p w:rsidR="00FF6C89" w:rsidRDefault="00FF6C89" w:rsidP="00717BC7">
      <w:pPr>
        <w:jc w:val="center"/>
        <w:rPr>
          <w:rFonts w:ascii="Times New Roman" w:hAnsi="Times New Roman"/>
          <w:b/>
          <w:sz w:val="12"/>
          <w:szCs w:val="12"/>
        </w:rPr>
      </w:pPr>
    </w:p>
    <w:p w:rsidR="00FF6C89" w:rsidRDefault="00FF6C89" w:rsidP="00717BC7">
      <w:pPr>
        <w:jc w:val="center"/>
        <w:rPr>
          <w:rFonts w:ascii="Times New Roman" w:hAnsi="Times New Roman"/>
          <w:b/>
          <w:sz w:val="12"/>
          <w:szCs w:val="12"/>
        </w:rPr>
      </w:pPr>
    </w:p>
    <w:p w:rsidR="00717BC7" w:rsidRPr="00FF6C89" w:rsidRDefault="00717BC7" w:rsidP="00717BC7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Общие вопросы</w:t>
      </w:r>
    </w:p>
    <w:p w:rsidR="00E46E23" w:rsidRPr="00FF6C89" w:rsidRDefault="00E46E23">
      <w:pPr>
        <w:rPr>
          <w:rFonts w:ascii="Tahoma" w:hAnsi="Tahoma"/>
          <w:sz w:val="18"/>
          <w:szCs w:val="18"/>
        </w:rPr>
      </w:pPr>
    </w:p>
    <w:tbl>
      <w:tblPr>
        <w:tblW w:w="10570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12"/>
        <w:gridCol w:w="4165"/>
        <w:gridCol w:w="2236"/>
        <w:gridCol w:w="943"/>
        <w:gridCol w:w="732"/>
        <w:gridCol w:w="1082"/>
        <w:gridCol w:w="900"/>
      </w:tblGrid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Утверждён порядок определения показателей финансово-хозяйственной деятельности организаций и индивидуальных предпринимателей, а также порядок получения соответствующих выписок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Закон о налоговых органах, показатели ФХД, разумная осторожность, статья 54.1 НК РФ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Приказ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ФНС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05.12.25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ЕА-7-31/1041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Компенсация за нарушение сроков выплаты в пользу работника обоснованных сумм применима к любым выплатам, вытекающим из трудовых отношений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236 ТК РФ, компенсация за нарушение сроков выплаты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15.12.25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44-П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Услуги по технической поддержке используемого в оборудовании программного обеспечения не представляют потребительной ценности в отрыве от самого программного обеспечения и данного оборудования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454 ГК РФ, статья 475 ГК РФ, статья 15 ГК РФ, статья 1064 ГК РФ, отказ от поддержки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01.12.25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307-ЭС25-4565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Если налоговая декларация (налоговое уведомление) подписано не лицом, информация о котором отражена в ЕГРЮЛ как о руководителе, то налоговый орган вправе отказать в приёме документации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58 НК РФ, статья 80 НК РФ, генеральный директор, уполномоченное лицо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26.11.25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301-ЭС25-12653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Премии сотрудникам, достигших одинаковых показателей, должны быть одинаковыми, а в целом по организации - сопоставимыми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135 ТК РФ, обоснованность премии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30.10.25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2677-О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Признание лица банкротом, что исключает наличие объекта обложения НДС с реализации последнего, не исключает обязанности его контрагентов по оплате услуг банкрота в размере, увеличенном на размер НДС, если только иное не предусмотрено договором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424 ГК РФ, статья 168 ГК РФ, цена договора, НДС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18.11.25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305-ЭС25-6082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 отсутствии соглашения об изменении цены сделки вследствие изменения законодательства об НДС продавец имеет права требовать от покупателя половину соответствующей суммы в судебном порядке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424 ГК РФ, статья 168 ГК РФ, цена договора, НДС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25.11.25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41-П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 принял обзор практики по применению мер ответственности к руководителю организации при заключении сделок с заинтересованностью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53.1 ГК РФ, исключение организации из ЕГРЮЛ, убытки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Обзор судебной практики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19.11.25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E46E23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Причинно-следственную связь между невыставлением счетов-фактур и невозможностью возмещения НДС необходимо доказать, поскольку основанием для вычета является не только счёт-фактура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15 ГК РФ, статья 1064 ГК РФ, убытки, счёт-фактура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МО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05.11.25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А40-217702/2024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Налоговые заверения в договоре стали основанием для взыскания убытков покупателем с поставщика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431.2 ГК РФ, заверения по налогам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11.11.25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305-ЭС25-10718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Если представление промежуточной бухгалтерской отчётности предусмотрено, в частности, договором, то исходя из таковой должна исчисляться действительная стоимость доли в уставном капитале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Закон об ООО, уставный капитал, действительная стоимость доли, промежуточная отчётность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14.11.25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305-ЭС25-7382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Наличие отрицательного сальдо по ЕНС и выставление соответствующего требования не требуют в дальнейшем при увеличении отрицательного сальдо выставления нового требования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46 НК РФ, статья 47 НК РФ, отрицательное сальдо по ЕНС, требование об уплате налога, динамическая процедура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13.11.25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305-ЭС25-7442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правила проверки наличия у физического лица статуса самозанятого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Налог на профессиональный доход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ФНС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09.10.25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ЗГ-2-20/15290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Налоговый орган в ходе камеральной налоговой проверки вправе истребовать у проверяемого лица любые документы в целях </w:t>
            </w: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lastRenderedPageBreak/>
              <w:t>устранения выявленных несоответствий в представленной проверяемым лицом отчётности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lastRenderedPageBreak/>
              <w:t xml:space="preserve">Статья 88 НК РФ, статья 93 НК РФ, камеральная налоговая проверка, </w:t>
            </w: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lastRenderedPageBreak/>
              <w:t>истребование документов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lastRenderedPageBreak/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31.10.25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309-ЭС25-6656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lastRenderedPageBreak/>
              <w:t>15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Цессия права требования, не подтверждённого в установленном законом порядке, в том числе оформленного с нарушением Закона №115-ФЗ, неправомерна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Закон №115-ФЗ, цессия, недействительность требования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23.10.25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305-ЭС25-5952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Многократное завышение стоимости приобретения активов у взаимозависимого лица, а также завышенная стоимость услуг взаимозависимого управляющего лица есть злоупотребление правом 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54.1 НК РФ, завышение стоимости приобретения, услуги управляющего лица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14.10.25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301-ЭС25-10998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Налоговый орган обязан ознакомить налогоплательщика со всеми материалами налоговой проверки, в том числе и о третьих лицах, невзирая на налоговую тайну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100 НК РФ, ознакомление с материалами налоговой проверки, налоговая тайна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ПО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11.09.25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А55-31036/2024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Отказ налоговым органом в возмещении НДС порождает убытки для покупателя, которые могут быть взысканы в общем порядке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15 ГК РФ, статья 1064 ГК РФ, статья 54.1 НК РФ, убытки, неправомерное возмещение НДС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СЗО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27.08.25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А56-50410/2023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Реальность заёмных отношений доказывает заинтересованное лицо посредством не только представления расписки в получении займа, но иными сопутствующими документами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54.1 НК РФ, недобросовестность, фиктивный заём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ВС РФ 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22.09.25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305-ЭС25-7880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Фактический отказ от использования арендованного помещения означает отказ от пролонгации договора, что исключает его автоматическую пролонгацию, предусмотренную договором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610 ГК РФ, срок договора аренды, пролонгация договора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19.08.25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305-ЭС25-4276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Перечисление работнику заработной платы в ошибочном размере вследствие неправильного её указания в платёжном документе может быть признано неосновательным обогащением, подлежащим взысканию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137 ТК РФ, счётная ошибка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18.08.25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46-КГ25-8-К6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Неотражение налоговым органом налоговых деклараций по истечение трёхлетнего срока может быть оспорено, если такие действия искажают реальное сальдо по ЕНС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11.3 НК РФ, ЕНС, сальдо по ЕНС, трёхлетний срок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МО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11.04.25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А40-105914/2024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Для признания договора заключённым необходимо установление лиц, его заключивших, и их волеизъявление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432 ГК РФ, незаключённость договора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08.07.25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78-КГ25-12-К3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Утверждены правила расчёта и уплаты сбора за размещение рекламы в интернете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Закон о рекламе, сбор за размещение рекламы в интернете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Правительство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15.08.25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1224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Право аренды недвижимости есть высоколиквидный актив, уступка которого по заниженной стоимости указывает на злоупотребление правом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10 ГК РФ, статья 606 ГК РФ, аренда недвижимости, право аренды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ВС РФ 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12.05.25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303-ЭС25-2741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Установлен порядок доступа к аудиторским заключениям в составе ГИРБО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ГИРБО, аудиторские заключения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Правительство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03.09.25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1361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Поездка дистанционного работника в офис, расположенный в другом городе, есть командировка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166 ТК РФ, служебная командировка, дистанционный работник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1-й КСОЮ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06.08.24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88-22545/2024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Признание договора купли-продажи недвижимости недействительным при отсутствии реституции не исключает возможности признания полученной оплаты доходом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41 НК РФ, недействительность сделки, реституция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17.07.25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2046-О</w:t>
            </w:r>
          </w:p>
        </w:tc>
      </w:tr>
      <w:tr w:rsidR="00E46E23" w:rsidRPr="00FF6C89" w:rsidTr="00717BC7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Нарушение налоговым органом сроков проведения выездной налоговой проверки само по себе не приводит к недействительности результатов таковой, но влияет на течение сроков на взыскание недоимки и пеней</w:t>
            </w:r>
          </w:p>
        </w:tc>
        <w:tc>
          <w:tcPr>
            <w:tcW w:w="2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89 НК РФ, статья 46 НК РФ, статья 101 НК РФ, срок взыскания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26.06.25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1569-О</w:t>
            </w:r>
          </w:p>
        </w:tc>
      </w:tr>
    </w:tbl>
    <w:p w:rsidR="00E46E23" w:rsidRPr="00FF6C89" w:rsidRDefault="00E46E23">
      <w:pPr>
        <w:rPr>
          <w:rFonts w:ascii="Tahoma" w:hAnsi="Tahoma"/>
          <w:sz w:val="18"/>
          <w:szCs w:val="18"/>
        </w:rPr>
      </w:pPr>
    </w:p>
    <w:p w:rsidR="00717BC7" w:rsidRPr="00FF6C89" w:rsidRDefault="00717BC7" w:rsidP="00717BC7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Налог на добавленную стоимость (НДС)</w:t>
      </w:r>
    </w:p>
    <w:p w:rsidR="00E46E23" w:rsidRPr="00FF6C89" w:rsidRDefault="00E46E23">
      <w:pPr>
        <w:rPr>
          <w:rFonts w:ascii="Tahoma" w:hAnsi="Tahoma"/>
          <w:sz w:val="18"/>
          <w:szCs w:val="18"/>
        </w:rPr>
      </w:pPr>
    </w:p>
    <w:tbl>
      <w:tblPr>
        <w:tblW w:w="10578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12"/>
        <w:gridCol w:w="4165"/>
        <w:gridCol w:w="2239"/>
        <w:gridCol w:w="943"/>
        <w:gridCol w:w="729"/>
        <w:gridCol w:w="1082"/>
        <w:gridCol w:w="908"/>
      </w:tblGrid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переходные положения для плательщиков УСН, ставших плательщиками НДС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145 НК РФ, статья 164 НК РФ, ставка НДС, УСН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Информация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ФНС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30.12.25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E46E23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переходные положения в связи с изменением ставки НДС с 20% на 22%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164 НК РФ, ставка НДС, переходные положения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ФНС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29.12.25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СД-4-3/11802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Рекомендованы формы счетов-фактур, книги продаж и книги покупок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169 НК РФ, форма счёта-фактуры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ФНС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26.12.25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СД-4-3/11730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 отсутствии соглашения об изменении цены сделки вследствие изменения законодательства об НДС продавец имеет права требовать от покупателя половину соответствующей суммы в судебном порядке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424 ГК РФ, статья 168 ГК РФ, цена договора, НДС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25.11.25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41-П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Признание лица банкротом, что исключает наличие объекта обложения НДС с реализации последнего, не исключает обязанности его контрагентов по оплате услуг банкрота в размере, увеличенном на размер НДС, если только иное не предусмотрено договором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424 ГК РФ, статья 168 ГК РФ, цена договора, НДС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18.11.25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305-ЭС25-6082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Передача ПИФ имущества его учредителю в счёт погашения пая признаётся реализацией на общих основаниях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146 НК РФ, ПИФ, передача имущества в счёт пая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18.09.25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03-07-11/90912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Причинно-следственную связь между невыставлением счетов-фактур и невозможностью возмещения НДС необходимо доказать, поскольку основанием для вычета является не только счёт-фактура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169 НК РФ, счёт-фактура, иные документы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МО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05.11.25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А40-217702/2024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Право на применение налогового вычета по НДС, исчисленного с авансов по ставке 20%, возникает в этой же сумме после отгрузки, даже если таковая облагается по ставке 10%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171 НК РФ, статья 172 НК РФ, ставка 10%, ставка 18%, вычет с аванса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25.09.25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03-04-05/93110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вопросы уплаты НДС в отношении строительно-монтажных работ для собственного потребления лицами, применяющими УСН, имеющими право на освобождение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146 НК РФ, статья 145 НК РФ, статья 164 НК РФ, строительно-монтажные работы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01.09.25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03-07-11/85025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правила исполнения обязанности налогового агента в отношении операций с медными полуфабрикатами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161 НК РФ, налоговый агент, кабельно-проводниковая продукция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01.09.25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03-07-11/84973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 отношении транспортно-экспедиционных услуг при перевозке порожних контейнеров не может применяться ставка НДС в размере 0%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164 НК РФ, ставка 0%, транспортно-экспедиционные услуги, порожние контейнеры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МФ РФ 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01.10.25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03-07-08/94958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Занижение выкупной стоимости предмета лизинга есть злоупотребление правом, приводящее к сокрытию выручки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153 НК РФ, лизинг, выкупная стоимость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27.10.25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304-ЭС25-10850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Безвозмездная передача имущества, предназначенного для предпринимательской деятельности, между взаимозависимыми лицами признаётся объектом обложения НДС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146 НК РФ, безвозмездная передача имущества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27.10.25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310-ЭС25-10172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Освобождение от НДС по медицинским изделиям подлежит применению независимо от операций с принадлежностями вместе с изделием или без такового, если последние указаны в регистрационном удостоверении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149 НК РФ, медицинские изделия, принадлежности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22.10.25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305-ЭС23-9076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правила исполнения обязанности налогового агента в отношении операций с медными полуфабрикатами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161 НК РФ, налоговый агент, кабельно-проводниковая продукция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ФНС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01.10.25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СД-4-3/8934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lastRenderedPageBreak/>
              <w:t>16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Стоимость неотделимых улучшений, переданных арендатором арендодателю, облагается НДС в общем порядке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146 НК РФ, безвозмездная передача имущества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18.09.25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301-ЭС25-8465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 продаже программного обеспечения в составе программно-аппаратного комплекса программное обеспечение освобождается от НДС, если его стоимость выделена отдельно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149 НК РФ, программное обеспечение, программно-аппаратный комплекс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20.08.25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03-07-07/81031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Продажа товаров одним российским налогоплательщиком другому за пределами Российской Федерации до таможенного оформления не признаётся реализацией на её территории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147 НК РФ, место реализации товаров, продажа товаров до таможенного оформления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07.08.25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03-07-08/76744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Местом реализации услуг по продвижению товаров, являющихся по сути рекламными услугами, признаётся место регистрации покупателя услуг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148 НК РФ, место реализации услуг, рекламные услуги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05.08.25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03-07-08/75718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Безвозмездная передача имущества, предназначенного для предпринимательской деятельности, между взаимозависимыми лицами признаётся объектом обложения НДС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146 НК РФ, безвозмездная передача имущества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1575-О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вопросы начисления и восстановления входящего НДС при получении бюджетных субсидий на компенсацию недополученных доходов или понесённых расходов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162 НК РФ, статья 170 НК РФ, субсидия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30.07.25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03-07-11/73904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 рамках международной перевозки подлежит применению ставка НДС в размере 0%, а при перевозке между пунктами на территории Российской Федерации - 20%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164 НК РФ, ставка 0%, международная перевозка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МФ РФ 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03.07.25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03-07-08/64858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НДС, уплаченный на таможне при ввозе безвозмездно получаемых деталей для ремонта в рамках гарантийных обязательств, возмещается на общих основаниях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171 НК РФ, статья 172 НК РФ, таможенный НДС, гарантийный ремонт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21.08.25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301-ЭС25-3037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Передача ПИФ имущества его учредителю в счёт погашения пая признаётся реализацией на общих основаниях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146 НК РФ, ПИФ, передача имущества в счёт пая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31.07.25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03-07-11/74312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Утверждён перечень производителей кабельно-проводниковой продукции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161 НК РФ, налоговый агент, кабельно-проводниковая продукция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Приказ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ФНС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ЕД-7-3/561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Стоимость неотделимых улучшений, переданных арендатором арендодателю, облагается НДС в общем порядке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146 НК РФ, безвозмездная передача имущества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ВВО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10.07.25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А17-2255/2021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Стоимость неотделимых улучшений, переданных арендатором арендодателю, облагается НДС в общем порядке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146 НК РФ, безвозмездная передача имущества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05.06.25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03-07-11/55506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Уплата НДС при аренде государственного имущества зависит от статуса арендодателя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161 НК РФ, аренда государственного имущества, налоговый агент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16.06.25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03-07-11/57831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Оспаривание УПД по правилам сделки неправомерно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169 НК РФ, УПД, недействительность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05.08.25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307-ЭС25-6929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 применении статьи 174.1 НК РФ лицо, исполняющее обязанность по уплате НДС, не вправе применять в отношении общей реализации ставки НДС, выбранные для своей реализации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174.1 НК РФ, статья 164 НК РФ, ставка НДС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22.05.25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03-07-11/50136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Если товар передаётся в составе набора товаров и не является самостоятельным предметом сделки, то набор товаров облагается НДС как одно целое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146 НК РФ, статья 164 НК РФ, набор товаров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МФ РФ 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21.06.25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03-07-11/70541</w:t>
            </w:r>
          </w:p>
        </w:tc>
      </w:tr>
    </w:tbl>
    <w:p w:rsidR="00FF6C89" w:rsidRDefault="00FF6C89" w:rsidP="00FF6C89">
      <w:pPr>
        <w:jc w:val="center"/>
        <w:rPr>
          <w:sz w:val="18"/>
          <w:szCs w:val="18"/>
        </w:rPr>
      </w:pPr>
    </w:p>
    <w:p w:rsidR="00FF6C89" w:rsidRDefault="00FF6C89" w:rsidP="00FF6C89">
      <w:pPr>
        <w:jc w:val="center"/>
        <w:rPr>
          <w:sz w:val="18"/>
          <w:szCs w:val="18"/>
        </w:rPr>
      </w:pPr>
    </w:p>
    <w:p w:rsidR="00FF6C89" w:rsidRDefault="00FF6C89" w:rsidP="00FF6C89">
      <w:pPr>
        <w:jc w:val="center"/>
        <w:rPr>
          <w:sz w:val="18"/>
          <w:szCs w:val="18"/>
        </w:rPr>
      </w:pPr>
    </w:p>
    <w:p w:rsidR="00FF6C89" w:rsidRPr="00FF6C89" w:rsidRDefault="00FF6C89" w:rsidP="00FF6C89">
      <w:pPr>
        <w:jc w:val="center"/>
        <w:rPr>
          <w:sz w:val="18"/>
          <w:szCs w:val="18"/>
        </w:rPr>
      </w:pPr>
    </w:p>
    <w:p w:rsidR="00FF6C89" w:rsidRPr="00FF6C89" w:rsidRDefault="00FF6C89" w:rsidP="00FF6C89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lastRenderedPageBreak/>
        <w:t>Налог на прибыль организаций</w:t>
      </w:r>
    </w:p>
    <w:p w:rsidR="00FF6C89" w:rsidRPr="00FF6C89" w:rsidRDefault="00FF6C89" w:rsidP="00FF6C89">
      <w:pPr>
        <w:jc w:val="center"/>
        <w:rPr>
          <w:sz w:val="18"/>
          <w:szCs w:val="18"/>
        </w:rPr>
      </w:pPr>
    </w:p>
    <w:tbl>
      <w:tblPr>
        <w:tblW w:w="10578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12"/>
        <w:gridCol w:w="4165"/>
        <w:gridCol w:w="2250"/>
        <w:gridCol w:w="932"/>
        <w:gridCol w:w="729"/>
        <w:gridCol w:w="1082"/>
        <w:gridCol w:w="908"/>
      </w:tblGrid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Включение "отечественного" программного обеспечения в соответствующий реестр не является основанием для изменения порядка начисления амортизации в отношении такого НМА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259 НК РФ, НМА, программное обеспечение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02.10.25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03-03-06/1/95844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Первичные бухгалтерские документы в электронном виде являются основанием для признания расходов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252 НК РФ, документальное подтверждение, электронный документ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МФ РФ 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04.09.25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03-03-07/86536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Компенсация в связи с изъятием имущества для государственных нужд включается в состав внереализационных доходов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250 НК РФ, статья 251 НК РФ, изъятие для государственных нужд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10.09.25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03-03-06/1/88282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случаи неправомерности признания в составе расходов по налогу на прибыль затрат на рекламу в интернете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264 НК РФ, реклама, интернет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04.09.25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03-03-06/1/86363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Повышающий коэффициент начисления амортизации К=2 применяется к первоначальной стоимости только определённых активов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257 НК РФ, статья 259.3 НК РФ, повышенный коэффициент амортизации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03-03-06/1/88519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Повышающий коэффициент начисления амортизации К=2 применяется к первоначальной стоимости соответствующих активов, но не применим к расходам по доработке таковых, а также технической поддержке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257 НК РФ, статья 259.3 НК РФ, повышенный коэффициент амортизации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16.09.25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03-03-06/2/90056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 целях применения повышающего коэффициента начисления амортизации в отношении основных средств, используемых в условиях повышенной сменности, необходимо учитывать, что таковые должны использоваться в течение трёх смен в течение рабочего дня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258 НК РФ, статья 259.3 НК РФ, амортизация, повышающий коэффициент, повышенная сменность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2116-О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Занижение выкупной стоимости предмета лизинга есть злоупотребление правом, приводящее к сокрытию выручки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249 НК РФ, лизинг, выкупная стоимость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27.10.25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304-ЭС25-10850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Обязанность по уплате налога в Российской Федерации для нерезидентов других государств зависит от вида дохода и международных актов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309 НК РФ, доходы от источников в Российской Федерации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07.07.25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03-08-05/65844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Компенсация за использование личного электротранспорта для целей налога на прибыль учтена быть не может, поскольку таковая не предусмотрена НК РФ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264 НК РФ, служебный автотранспорт, компенсация за использование личного автотранспорта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19.08.25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03-03-06/1/80897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Проценты по кредиту на приобретение основного средства учитываются не в стоимости последнего, а включаются в состав внереализационных расходов в силу наличия специальной нормы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269 НК РФ, статья 257 НК РФ, проценты по кредиту, стоимость основного средства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01.08.25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03-03-06/1/74556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Налогоплательщик обязан восстанавливать сумму неиспользованного резерва на гарантийный ремонт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267 НК РФ, гарантийный ремонт, резерв на гарантийный ремонт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1570-О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Субсидия как часть оплаты выручки признаётся в составе доходов на дату реализации товаров (работ, услуг)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249 НК РФ, статья 271 НК РФ, субсидия, выручка от реализации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25.07.25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03-03-06/1/72179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 создании объекта основных средств все затраты, связанные с его доведением до работоспособного состояния включаются в его первоначальную стоимость, даже если таковые поименованы в статье 264 НК РФ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257 НК РФ, статья 264 НК РФ, первоначальная стоимость, косвенные расходы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30.07.25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03-03-06/1/73675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lastRenderedPageBreak/>
              <w:t>15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Отказ от получения распределённых дивидендов есть способ получения таковых, поэтому при наличии обязанности налогового агента таковая должна быть исполнена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309 НК РФ, дивиденды, выплата третьему лицу, обязанность налогового агента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03-08-09/57653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Стоимость неотделимых улучшений, переданных арендатором арендодателю, не может быть списана на затраты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258 НК РФ, статья 270 НК РФ, неотделимые улучшения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05.06.25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03-07-11/55506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Расходы на обучение сотрудников могут быть учтены только при заключении таковых с образовательными учреждениями; в случае заключения таковых через посредников - необходимо учитывать субъекта, у которого возникают права и обязанности по договору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264 НК РФ, расходы на обучение сотрудников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02.06.25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03-03-06/3/54023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случаи неправомерности признания в составе расходов по налогу на прибыль затрат на рекламу в интернете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264 НК РФ, реклама, интернет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06.06.25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03-03-06/1/55932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Пропуск срока для списания безнадёжной задолженности лишает права на учёт таковой в составе внереализационных расходов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266 НК РФ, безнадёжная задолженность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СЗО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16.04.25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А42-408/2021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Отражать ошибки прошлых лет в налоговом периоде с большей ставкой по налогу на прибыль неправомерно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54 НК РФ, статья 81 НК РФ, исправление ошибок прошлых лет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03-03-06/1/63275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Если кредиторская задолженность отражена в учёте вследствие фиктивных операций, то вопрос её включения в состав внереализационных доходов необходимо исследовать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250 НК РФ, статья 54.1 НК РФ,  кредиторская задолженность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25.06.25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310-ЭС25-5237</w:t>
            </w:r>
          </w:p>
        </w:tc>
      </w:tr>
    </w:tbl>
    <w:p w:rsidR="00FF6C89" w:rsidRDefault="00FF6C89" w:rsidP="00FF6C89">
      <w:pPr>
        <w:jc w:val="center"/>
        <w:rPr>
          <w:sz w:val="18"/>
          <w:szCs w:val="18"/>
        </w:rPr>
      </w:pPr>
    </w:p>
    <w:p w:rsidR="00FF6C89" w:rsidRPr="00FF6C89" w:rsidRDefault="00FF6C89" w:rsidP="00FF6C89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Страховые взносы</w:t>
      </w:r>
    </w:p>
    <w:p w:rsidR="00FF6C89" w:rsidRPr="00FF6C89" w:rsidRDefault="00FF6C89" w:rsidP="00FF6C89">
      <w:pPr>
        <w:jc w:val="center"/>
        <w:rPr>
          <w:sz w:val="18"/>
          <w:szCs w:val="18"/>
        </w:rPr>
      </w:pPr>
    </w:p>
    <w:tbl>
      <w:tblPr>
        <w:tblW w:w="10567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12"/>
        <w:gridCol w:w="4165"/>
        <w:gridCol w:w="2239"/>
        <w:gridCol w:w="943"/>
        <w:gridCol w:w="718"/>
        <w:gridCol w:w="1082"/>
        <w:gridCol w:w="908"/>
      </w:tblGrid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Правительство Российской Федерации утвердило перечень видов деятельности, в отношении которых могут применяться пониженные тарифы страховых взносов для субъектов МСП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427 НК РФ, пониженные тарифы, субъекты МСП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Распоряжение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Правительство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27.12.25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4125-р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 Санкт-Петербурге с 01.01.2026 года установлен региональный МРОТ в размере 31 250 рублей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133.1 ТК РФ, региональный МРОТ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Региональное соглашение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E46E23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11.12.25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395/25-С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Компенсация за использование личного автотранспорта в служебных целях не подлежит обложению страховыми взносами при доказывании ключевых обстоятельств таковой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420 НК РФ, статья 422 НК РФ, компенсация за использование личного имущества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СФР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26.09.25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19-02/93633Л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Налоговый орган правомерно переквалифицировал отношения с самозанятым лицом в трудовые отношения, доначислив страховые взносы и НДФЛ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420 НК РФ, статья 422 НК РФ, самозанятость, трудовые отношения, переквалификация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19.11.25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308-ЭС25-11961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Обеспечение работников питанием не есть часть оплату труда таковых, что исключает объект обложения страховыми взносами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420 НК РФ, статья 422 НК РФ, питание сотрудников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СЗО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16.10.25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А56-57278/2024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Компенсационные выплаты должны быть обусловлены наличием вредности производственных факторов, а при отсутствии таковых переквалифицируются в доплаты и надбавки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420 НК РФ, статья 422 НК РФ, компенсационные выплаты, вредные условия труда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01.11.25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301-ЭС25-10784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Установлена предельная сумма для применения регрессивной ставки по страховым взносам на 2026 год в размере 2 979 000 рублей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Предельная сумма страховых взносов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Правительство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31.10.25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1705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Компенсация за использование личного автомобиля была включена в базу для расчёта страховых взносов, поскольку не был доказан производственный характер разъездов и адекватность сумм компенсации характеристикам автомобиля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420 НК РФ, статья 422 НК РФ, компенсация за использование личного имущества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ВВО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22.08.25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А82-13492/2024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lastRenderedPageBreak/>
              <w:t>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Налоговый орган правомерно переквалифицировал отношения с индивидуальным предпринимателем в трудовые отношения, доначислив страховые взносы и НДФЛ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 w:rsidP="00BE234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Статья 420 НК РФ, статья 422 НК РФ, </w:t>
            </w:r>
            <w:r w:rsidR="00BE2347">
              <w:rPr>
                <w:rFonts w:ascii="Tahoma" w:hAnsi="Tahoma"/>
                <w:color w:val="000000" w:themeColor="dark1"/>
                <w:sz w:val="18"/>
                <w:szCs w:val="18"/>
              </w:rPr>
              <w:t>ИП</w:t>
            </w: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, трудовые отношения, переквалификация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17.09.25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301-ЭС25-9832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Применение пониженных тарифов для обрабатывающих производств правомерно, если по одному основному (а не сумме нескольких) виду деятельность сумма доходов превышает 70%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427 НК РФ, пониженные тарифы, обрабатывающие производства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31.07.25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03-15-05/74287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При заключении с физическим лицом договора хранения на выплаты по таковому начисляются страховые взносы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420 НК РФ, договор хранения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13.05.25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03-15-06/46644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Выплаты по фантомным опционам не есть дивиденды, вследствие чего облагаются страховыми взносами в общеустановленном порядке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420 НК РФ, статья 422 НК РФ, фантомные опционы, дивиденды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 xml:space="preserve">МФ РФ 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17.06.25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03-15-05/58680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Компенсационные выплаты должны зависеть от степени вредности производственных факторов, а не занимаемой должности, вследствие чего таковые переквалифицируются в доплаты и надбавки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420 НК РФ, статья 422 НК РФ, компенсационные выплаты, вредные условия труда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25.06.25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301-ЭС25-5138</w:t>
            </w:r>
          </w:p>
        </w:tc>
      </w:tr>
    </w:tbl>
    <w:p w:rsidR="00FF6C89" w:rsidRPr="00FF6C89" w:rsidRDefault="00FF6C89" w:rsidP="00FF6C89">
      <w:pPr>
        <w:jc w:val="center"/>
        <w:rPr>
          <w:sz w:val="18"/>
          <w:szCs w:val="18"/>
        </w:rPr>
      </w:pPr>
    </w:p>
    <w:p w:rsidR="00FF6C89" w:rsidRPr="00FF6C89" w:rsidRDefault="00FF6C89" w:rsidP="00FF6C89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Налог на доходы физических лиц (НДФЛ)</w:t>
      </w:r>
    </w:p>
    <w:p w:rsidR="00FF6C89" w:rsidRPr="00FF6C89" w:rsidRDefault="00FF6C89" w:rsidP="00FF6C89">
      <w:pPr>
        <w:jc w:val="center"/>
        <w:rPr>
          <w:sz w:val="18"/>
          <w:szCs w:val="18"/>
        </w:rPr>
      </w:pPr>
    </w:p>
    <w:tbl>
      <w:tblPr>
        <w:tblW w:w="10567" w:type="dxa"/>
        <w:tblInd w:w="418" w:type="dxa"/>
        <w:tblLayout w:type="fixed"/>
        <w:tblLook w:val="04A0" w:firstRow="1" w:lastRow="0" w:firstColumn="1" w:lastColumn="0" w:noHBand="0" w:noVBand="1"/>
      </w:tblPr>
      <w:tblGrid>
        <w:gridCol w:w="512"/>
        <w:gridCol w:w="4165"/>
        <w:gridCol w:w="2239"/>
        <w:gridCol w:w="943"/>
        <w:gridCol w:w="729"/>
        <w:gridCol w:w="1071"/>
        <w:gridCol w:w="908"/>
      </w:tblGrid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вопросы уплаты НДФЛ с дивидендов, которые начислены непропорционально долям в уставном капитале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41 НК РФ, статья 210 НК РФ, статья 214 НК РФ, дивиденды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ФНС РФ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28.11.25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11-1-04/0027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Налоговый орган правомерно переквалифицировал договор о передаче функций единоличного органа индивидуальному предпринимателю в трудовой договор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208 НК РФ, статья 226 НК РФ, индивидуальный предприниматель, трудовые отношения, переквалификация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11.12.25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301-ЭС25-13399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Выплата дохода плательщику НПД в виде процентов по договору займа не освобождает налогового агента от удержания НДФЛ, поскольку указанные доходы являются "пассивными" доходами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226 НК РФ, НПД, проценты по займам, "пассивные" доходы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ЗСО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11.11.25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А27-7099/2025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4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Возврат излишне удержанного НДФЛ осуществляется налоговым агентом за счёт общих перечислений НДФЛ, а при невозможности - налоговым органом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226 НК РФ, статья 230 НК РФ, возврат излишне удержанного НДФЛ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28.11.25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305-ЭС24-14819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5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Поступление денежных средств на карту руководителя с их последующим расходованием в личных целях было признано оплатой труда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210 НК РФ, подотчётные суммы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21.11.25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307-ЭС25-12422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6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Налоговый орган правомерно переквалифицировал отношения с самозанятым лицом в трудовые отношения, доначислив страховые взносы и НДФЛ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210 НК РФ, статья 54.1 НК РФ, самозанятость, трудовые отношения, переквалификация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19.11.25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308-ЭС25-11961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7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Если представление промежуточной бухгалтерской отчётности предусмотрено, в частности, договором, то исходя из таковой должна исчисляться действительная стоимость доли в уставном капитале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212 НК РФ, уставный капитал, действительная стоимость доли, промежуточная отчётность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14.11.25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305-ЭС25-7382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8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Обеспечение работников питанием у таковых порождает доход в натуральной форме в размере средней стоимости такого питания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211 НК РФ, доход в натуральной форме, питание сотрудников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СЗО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16.10.25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А56-57278/2024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9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Разъяснены правила освобождения от НДФЛ сумм выходного пособия при увольнении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217 НК РФ, увольнение, выходное пособие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Письмо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МФ РФ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07.07.25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03-04-05/66167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10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Занижение выкупной стоимости предмета лизинга есть злоупотребление правом, приводящее к сокрытию выручки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210 НК РФ, лизинг, выкупная стоимость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27.10.25</w:t>
            </w:r>
          </w:p>
        </w:tc>
        <w:tc>
          <w:tcPr>
            <w:tcW w:w="9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304-ЭС25-10850</w:t>
            </w:r>
          </w:p>
        </w:tc>
      </w:tr>
    </w:tbl>
    <w:p w:rsidR="00FF6C89" w:rsidRPr="00FF6C89" w:rsidRDefault="00FF6C89" w:rsidP="00FF6C89">
      <w:pPr>
        <w:jc w:val="center"/>
        <w:rPr>
          <w:sz w:val="18"/>
          <w:szCs w:val="18"/>
        </w:rPr>
      </w:pPr>
    </w:p>
    <w:p w:rsidR="00FF6C89" w:rsidRPr="00FF6C89" w:rsidRDefault="00FF6C89" w:rsidP="00FF6C89">
      <w:pPr>
        <w:jc w:val="center"/>
        <w:rPr>
          <w:rFonts w:ascii="Times New Roman" w:hAnsi="Times New Roman"/>
          <w:b/>
          <w:szCs w:val="24"/>
        </w:rPr>
      </w:pPr>
      <w:r w:rsidRPr="00FF6C89">
        <w:rPr>
          <w:rFonts w:ascii="Times New Roman" w:hAnsi="Times New Roman"/>
          <w:b/>
          <w:szCs w:val="24"/>
        </w:rPr>
        <w:t>Имущественные налоги</w:t>
      </w:r>
    </w:p>
    <w:p w:rsidR="00FF6C89" w:rsidRPr="00FF6C89" w:rsidRDefault="00FF6C89" w:rsidP="00FF6C89">
      <w:pPr>
        <w:jc w:val="center"/>
        <w:rPr>
          <w:sz w:val="18"/>
          <w:szCs w:val="18"/>
        </w:rPr>
      </w:pPr>
    </w:p>
    <w:tbl>
      <w:tblPr>
        <w:tblW w:w="10709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512"/>
        <w:gridCol w:w="4307"/>
        <w:gridCol w:w="2239"/>
        <w:gridCol w:w="954"/>
        <w:gridCol w:w="718"/>
        <w:gridCol w:w="1082"/>
        <w:gridCol w:w="897"/>
      </w:tblGrid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</w:t>
            </w:r>
          </w:p>
        </w:tc>
        <w:tc>
          <w:tcPr>
            <w:tcW w:w="4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Оборудование, смонтированное в здании для его обслуживания и комфортного использования, не может автоматически быть отнесённым на увеличение стоимости здания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374 НК РФ, недвижимости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Постановление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ФАС УО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17.09.25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А76-14187/2024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</w:t>
            </w:r>
          </w:p>
        </w:tc>
        <w:tc>
          <w:tcPr>
            <w:tcW w:w="4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Даже при продаже всех помещений в здании, но при сохранении записи в ЕГРН за собственником здания, последний должен уплачивать налог на имущество по указанному зданию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374 НК РФ, статья 378.2 НК РФ, запись в ЕГРН, здание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21.07.25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305-ЭС25-6091</w:t>
            </w:r>
          </w:p>
        </w:tc>
      </w:tr>
      <w:tr w:rsidR="00E46E23" w:rsidRPr="00FF6C89" w:rsidTr="00FF6C89">
        <w:tc>
          <w:tcPr>
            <w:tcW w:w="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</w:t>
            </w:r>
          </w:p>
        </w:tc>
        <w:tc>
          <w:tcPr>
            <w:tcW w:w="4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Не любые элементы кабельных линий могут быть признаны неотъемлемой частью таковых, вследствие чего могут квалифицироваться как движимое имущество</w:t>
            </w:r>
          </w:p>
        </w:tc>
        <w:tc>
          <w:tcPr>
            <w:tcW w:w="2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left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Определение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ВС РФ</w:t>
            </w:r>
          </w:p>
        </w:tc>
        <w:tc>
          <w:tcPr>
            <w:tcW w:w="1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09.07.25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46E23" w:rsidRPr="00FF6C89" w:rsidRDefault="00717BC7">
            <w:pPr>
              <w:jc w:val="center"/>
              <w:rPr>
                <w:rFonts w:ascii="Tahoma" w:hAnsi="Tahoma"/>
                <w:color w:val="000000" w:themeColor="dark1"/>
                <w:sz w:val="18"/>
                <w:szCs w:val="18"/>
              </w:rPr>
            </w:pPr>
            <w:r w:rsidRPr="00FF6C89">
              <w:rPr>
                <w:rFonts w:ascii="Tahoma" w:hAnsi="Tahoma"/>
                <w:color w:val="000000" w:themeColor="dark1"/>
                <w:sz w:val="18"/>
                <w:szCs w:val="18"/>
              </w:rPr>
              <w:t>305-ЭС25-6581</w:t>
            </w:r>
          </w:p>
        </w:tc>
      </w:tr>
    </w:tbl>
    <w:p w:rsidR="00E46E23" w:rsidRDefault="00E46E23">
      <w:pPr>
        <w:rPr>
          <w:rFonts w:ascii="Tahoma" w:hAnsi="Tahoma"/>
          <w:sz w:val="18"/>
          <w:szCs w:val="18"/>
        </w:rPr>
      </w:pPr>
    </w:p>
    <w:p w:rsidR="00BE2347" w:rsidRDefault="00BE2347" w:rsidP="00FF6C89">
      <w:pPr>
        <w:jc w:val="center"/>
        <w:rPr>
          <w:b/>
          <w:sz w:val="22"/>
        </w:rPr>
      </w:pPr>
    </w:p>
    <w:p w:rsidR="00BE2347" w:rsidRDefault="00BE2347" w:rsidP="00FF6C89">
      <w:pPr>
        <w:jc w:val="center"/>
        <w:rPr>
          <w:b/>
          <w:sz w:val="22"/>
        </w:rPr>
      </w:pPr>
    </w:p>
    <w:p w:rsidR="00BE2347" w:rsidRDefault="00BE2347" w:rsidP="00FF6C89">
      <w:pPr>
        <w:jc w:val="center"/>
        <w:rPr>
          <w:b/>
          <w:sz w:val="22"/>
        </w:rPr>
      </w:pPr>
      <w:bookmarkStart w:id="0" w:name="_GoBack"/>
      <w:bookmarkEnd w:id="0"/>
    </w:p>
    <w:p w:rsidR="00FF6C89" w:rsidRPr="000078C6" w:rsidRDefault="00FF6C89" w:rsidP="00FF6C89">
      <w:pPr>
        <w:jc w:val="center"/>
        <w:rPr>
          <w:b/>
          <w:sz w:val="22"/>
        </w:rPr>
      </w:pPr>
      <w:r w:rsidRPr="000078C6">
        <w:rPr>
          <w:b/>
          <w:sz w:val="22"/>
        </w:rPr>
        <w:t>Телеграм-каналы «Центра финансовых экспертиз»</w:t>
      </w:r>
    </w:p>
    <w:p w:rsidR="00FF6C89" w:rsidRPr="000078C6" w:rsidRDefault="00FF6C89" w:rsidP="00FF6C89">
      <w:pPr>
        <w:jc w:val="center"/>
        <w:rPr>
          <w:b/>
          <w:noProof/>
          <w:sz w:val="20"/>
        </w:rPr>
      </w:pPr>
    </w:p>
    <w:p w:rsidR="00FF6C89" w:rsidRPr="000078C6" w:rsidRDefault="00BE2347" w:rsidP="00FF6C89">
      <w:pPr>
        <w:jc w:val="center"/>
        <w:rPr>
          <w:noProof/>
          <w:sz w:val="20"/>
        </w:rPr>
      </w:pPr>
      <w:r w:rsidRPr="000078C6">
        <w:rPr>
          <w:noProof/>
          <w:sz w:val="20"/>
        </w:rPr>
        <w:drawing>
          <wp:inline distT="0" distB="0" distL="0" distR="0" wp14:anchorId="3C35A61B" wp14:editId="71321EF7">
            <wp:extent cx="1644650" cy="1973859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006" cy="1993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20"/>
        </w:rPr>
        <w:t xml:space="preserve">                           </w:t>
      </w:r>
      <w:r w:rsidR="00FF6C89" w:rsidRPr="000078C6">
        <w:rPr>
          <w:noProof/>
          <w:sz w:val="20"/>
        </w:rPr>
        <w:drawing>
          <wp:inline distT="0" distB="0" distL="0" distR="0" wp14:anchorId="019A421E" wp14:editId="15E71AB2">
            <wp:extent cx="1727993" cy="1974850"/>
            <wp:effectExtent l="0" t="0" r="5715" b="6350"/>
            <wp:docPr id="2" name="Рисунок 2" descr="C:\Data\ЦФЭОформление\ТГ_БюджетУч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ЦФЭОформление\ТГ_БюджетУчет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963" cy="199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C89" w:rsidRPr="000078C6" w:rsidRDefault="00BE2347" w:rsidP="00BE2347">
      <w:pPr>
        <w:ind w:left="720" w:firstLine="720"/>
        <w:jc w:val="left"/>
        <w:rPr>
          <w:b/>
          <w:noProof/>
          <w:sz w:val="20"/>
        </w:rPr>
      </w:pPr>
      <w:r w:rsidRPr="000078C6">
        <w:rPr>
          <w:b/>
          <w:noProof/>
          <w:sz w:val="20"/>
        </w:rPr>
        <w:t>«Бухгалтер и Бизнес»</w:t>
      </w:r>
      <w:r w:rsidRPr="000078C6">
        <w:rPr>
          <w:b/>
          <w:noProof/>
          <w:sz w:val="20"/>
        </w:rPr>
        <w:t xml:space="preserve"> </w:t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</w:r>
      <w:r>
        <w:rPr>
          <w:b/>
          <w:noProof/>
          <w:sz w:val="20"/>
        </w:rPr>
        <w:tab/>
        <w:t xml:space="preserve">    </w:t>
      </w:r>
      <w:r w:rsidR="00FF6C89" w:rsidRPr="000078C6">
        <w:rPr>
          <w:b/>
          <w:noProof/>
          <w:sz w:val="20"/>
        </w:rPr>
        <w:t>«Бюджетный учет»</w:t>
      </w:r>
    </w:p>
    <w:p w:rsidR="00FF6C89" w:rsidRPr="000078C6" w:rsidRDefault="00FF6C89" w:rsidP="00FF6C89">
      <w:pPr>
        <w:jc w:val="left"/>
        <w:rPr>
          <w:noProof/>
          <w:sz w:val="20"/>
        </w:rPr>
      </w:pPr>
    </w:p>
    <w:p w:rsidR="00FF6C89" w:rsidRPr="000078C6" w:rsidRDefault="00FF6C89" w:rsidP="00FF6C89">
      <w:pPr>
        <w:jc w:val="center"/>
        <w:rPr>
          <w:sz w:val="20"/>
        </w:rPr>
      </w:pPr>
      <w:r w:rsidRPr="000078C6">
        <w:rPr>
          <w:noProof/>
          <w:sz w:val="20"/>
        </w:rPr>
        <w:drawing>
          <wp:inline distT="0" distB="0" distL="0" distR="0" wp14:anchorId="5DF7CF11" wp14:editId="06CFB18F">
            <wp:extent cx="1651000" cy="1976966"/>
            <wp:effectExtent l="0" t="0" r="6350" b="4445"/>
            <wp:docPr id="3" name="Рисунок 3" descr="C:\Data\ЦФЭОформление\ТГ_ГорячаяЛи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ЦФЭОформление\ТГ_ГорячаяЛин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586" cy="2011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C89" w:rsidRPr="000078C6" w:rsidRDefault="00FF6C89" w:rsidP="00FF6C89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>«Горячая линия бухгалтера»</w:t>
      </w:r>
    </w:p>
    <w:p w:rsidR="00FF6C89" w:rsidRPr="000078C6" w:rsidRDefault="00FF6C89" w:rsidP="00FF6C89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>(оперативные ответы на вопросы)</w:t>
      </w:r>
    </w:p>
    <w:p w:rsidR="00FF6C89" w:rsidRDefault="00FF6C89" w:rsidP="00FF6C89">
      <w:pPr>
        <w:jc w:val="center"/>
        <w:rPr>
          <w:b/>
          <w:noProof/>
          <w:sz w:val="20"/>
        </w:rPr>
      </w:pPr>
    </w:p>
    <w:p w:rsidR="00BE2347" w:rsidRDefault="00BE2347" w:rsidP="00FF6C89">
      <w:pPr>
        <w:jc w:val="center"/>
        <w:rPr>
          <w:b/>
          <w:noProof/>
          <w:sz w:val="20"/>
        </w:rPr>
      </w:pPr>
    </w:p>
    <w:p w:rsidR="00FF6C89" w:rsidRPr="000078C6" w:rsidRDefault="00FF6C89" w:rsidP="00FF6C89">
      <w:pPr>
        <w:jc w:val="center"/>
        <w:rPr>
          <w:rFonts w:cs="Courier New"/>
          <w:b/>
          <w:noProof/>
          <w:sz w:val="20"/>
        </w:rPr>
      </w:pPr>
    </w:p>
    <w:p w:rsidR="00FF6C89" w:rsidRPr="000078C6" w:rsidRDefault="00FF6C89" w:rsidP="00FF6C89">
      <w:pPr>
        <w:jc w:val="center"/>
        <w:rPr>
          <w:rFonts w:cs="Courier New"/>
          <w:b/>
          <w:sz w:val="20"/>
        </w:rPr>
      </w:pPr>
      <w:r>
        <w:rPr>
          <w:rFonts w:cs="Courier New"/>
          <w:b/>
          <w:sz w:val="20"/>
        </w:rPr>
        <w:t>КОНТАКТЫ</w:t>
      </w:r>
    </w:p>
    <w:p w:rsidR="00FF6C89" w:rsidRPr="000078C6" w:rsidRDefault="00FF6C89" w:rsidP="00FF6C89">
      <w:pPr>
        <w:pStyle w:val="ac"/>
        <w:ind w:firstLine="709"/>
        <w:jc w:val="center"/>
        <w:rPr>
          <w:rFonts w:ascii="Courier New" w:hAnsi="Courier New" w:cs="Courier New"/>
          <w:b/>
        </w:rPr>
      </w:pPr>
      <w:r w:rsidRPr="000078C6">
        <w:rPr>
          <w:rFonts w:ascii="Courier New" w:hAnsi="Courier New" w:cs="Courier New"/>
          <w:b/>
        </w:rPr>
        <w:t>(812) 920-12-14, (911) 920-12-14 МТС (ЦФЭ Клиент-Менеджер)</w:t>
      </w:r>
    </w:p>
    <w:p w:rsidR="00FF6C89" w:rsidRPr="000078C6" w:rsidRDefault="00FF6C89" w:rsidP="00FF6C89">
      <w:pPr>
        <w:pStyle w:val="ac"/>
        <w:ind w:firstLine="709"/>
        <w:jc w:val="center"/>
        <w:rPr>
          <w:rFonts w:ascii="Courier New" w:hAnsi="Courier New" w:cs="Courier New"/>
          <w:b/>
        </w:rPr>
      </w:pPr>
      <w:r w:rsidRPr="000078C6">
        <w:rPr>
          <w:rFonts w:ascii="Courier New" w:hAnsi="Courier New" w:cs="Courier New"/>
          <w:b/>
        </w:rPr>
        <w:t>(995) 231-95-43 Теле2 (ЦФЭ Семинар для бухгалтера)</w:t>
      </w:r>
    </w:p>
    <w:p w:rsidR="00FF6C89" w:rsidRPr="000078C6" w:rsidRDefault="00FF6C89" w:rsidP="00FF6C89">
      <w:pPr>
        <w:pStyle w:val="ac"/>
        <w:ind w:firstLine="709"/>
        <w:jc w:val="center"/>
        <w:rPr>
          <w:rFonts w:ascii="Courier New" w:hAnsi="Courier New" w:cs="Courier New"/>
          <w:b/>
        </w:rPr>
      </w:pPr>
      <w:r w:rsidRPr="000078C6">
        <w:rPr>
          <w:rFonts w:ascii="Courier New" w:hAnsi="Courier New" w:cs="Courier New"/>
          <w:b/>
        </w:rPr>
        <w:t xml:space="preserve">(911) 992-65-69 </w:t>
      </w:r>
      <w:r w:rsidRPr="000078C6">
        <w:rPr>
          <w:rFonts w:ascii="Courier New" w:hAnsi="Courier New" w:cs="Courier New"/>
          <w:b/>
          <w:lang w:val="en-US"/>
        </w:rPr>
        <w:t>MTC</w:t>
      </w:r>
      <w:r w:rsidRPr="000078C6">
        <w:rPr>
          <w:rFonts w:ascii="Courier New" w:hAnsi="Courier New" w:cs="Courier New"/>
          <w:b/>
        </w:rPr>
        <w:t xml:space="preserve"> (Центр финансовых экспертиз - руководитель)</w:t>
      </w:r>
    </w:p>
    <w:p w:rsidR="00FF6C89" w:rsidRDefault="00FF6C89" w:rsidP="00FF6C89">
      <w:pPr>
        <w:jc w:val="center"/>
        <w:rPr>
          <w:b/>
          <w:noProof/>
          <w:sz w:val="20"/>
        </w:rPr>
      </w:pPr>
    </w:p>
    <w:p w:rsidR="00FF6C89" w:rsidRDefault="00FF6C89" w:rsidP="00FF6C89">
      <w:pPr>
        <w:jc w:val="center"/>
        <w:rPr>
          <w:b/>
          <w:noProof/>
          <w:sz w:val="20"/>
        </w:rPr>
      </w:pPr>
    </w:p>
    <w:p w:rsidR="00FF6C89" w:rsidRPr="000078C6" w:rsidRDefault="00FF6C89" w:rsidP="00FF6C89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 xml:space="preserve">НАШ ИДЕНТИФИКАТОР В ЭДО (СБИС) </w:t>
      </w:r>
    </w:p>
    <w:p w:rsidR="00FF6C89" w:rsidRPr="00BE2347" w:rsidRDefault="00FF6C89" w:rsidP="00BE2347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>2BEdc9b36e2120a4ec59f316e4f43bfb9b4</w:t>
      </w:r>
    </w:p>
    <w:sectPr w:rsidR="00FF6C89" w:rsidRPr="00BE2347" w:rsidSect="00FF6C89">
      <w:footerReference w:type="default" r:id="rId9"/>
      <w:pgSz w:w="11908" w:h="16848"/>
      <w:pgMar w:top="709" w:right="283" w:bottom="283" w:left="283" w:header="850" w:footer="1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116" w:rsidRDefault="002C6116" w:rsidP="00FF6C89">
      <w:r>
        <w:separator/>
      </w:r>
    </w:p>
  </w:endnote>
  <w:endnote w:type="continuationSeparator" w:id="0">
    <w:p w:rsidR="002C6116" w:rsidRDefault="002C6116" w:rsidP="00FF6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0646578"/>
      <w:docPartObj>
        <w:docPartGallery w:val="Page Numbers (Bottom of Page)"/>
        <w:docPartUnique/>
      </w:docPartObj>
    </w:sdtPr>
    <w:sdtContent>
      <w:p w:rsidR="00FF6C89" w:rsidRDefault="00FF6C8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347">
          <w:rPr>
            <w:noProof/>
          </w:rPr>
          <w:t>1</w:t>
        </w:r>
        <w:r>
          <w:fldChar w:fldCharType="end"/>
        </w:r>
      </w:p>
    </w:sdtContent>
  </w:sdt>
  <w:p w:rsidR="00FF6C89" w:rsidRDefault="00FF6C8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116" w:rsidRDefault="002C6116" w:rsidP="00FF6C89">
      <w:r>
        <w:separator/>
      </w:r>
    </w:p>
  </w:footnote>
  <w:footnote w:type="continuationSeparator" w:id="0">
    <w:p w:rsidR="002C6116" w:rsidRDefault="002C6116" w:rsidP="00FF6C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E23"/>
    <w:rsid w:val="002C6116"/>
    <w:rsid w:val="00717BC7"/>
    <w:rsid w:val="00BE2347"/>
    <w:rsid w:val="00E46E23"/>
    <w:rsid w:val="00F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1AFFDE-F81C-4B85-A5E0-603FF1705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rFonts w:ascii="Courier New" w:hAnsi="Courier New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ourier New" w:hAnsi="Courier New"/>
      <w:color w:val="000000"/>
      <w:spacing w:val="0"/>
      <w:sz w:val="24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Pr>
      <w:rFonts w:ascii="XO Thames" w:hAnsi="XO Thames"/>
      <w:color w:val="000000"/>
      <w:spacing w:val="0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color w:val="000000"/>
      <w:spacing w:val="0"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Pr>
      <w:rFonts w:ascii="XO Thames" w:hAnsi="XO Thames"/>
      <w:color w:val="000000"/>
      <w:spacing w:val="0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rFonts w:ascii="XO Thames" w:hAnsi="XO Thames"/>
      <w:b/>
      <w:sz w:val="28"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color w:val="000000"/>
      <w:spacing w:val="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Pr>
      <w:rFonts w:ascii="XO Thames" w:hAnsi="XO Thames"/>
      <w:color w:val="000000"/>
      <w:spacing w:val="0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Pr>
      <w:rFonts w:ascii="XO Thames" w:hAnsi="XO Thames"/>
      <w:color w:val="000000"/>
      <w:spacing w:val="0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color w:val="000000"/>
      <w:spacing w:val="0"/>
      <w:sz w:val="28"/>
    </w:rPr>
  </w:style>
  <w:style w:type="paragraph" w:styleId="a4">
    <w:name w:val="Subtitle"/>
    <w:basedOn w:val="a"/>
    <w:next w:val="a"/>
    <w:link w:val="a5"/>
    <w:uiPriority w:val="11"/>
    <w:qFormat/>
    <w:rPr>
      <w:rFonts w:ascii="XO Thames" w:hAnsi="XO Thames"/>
      <w:i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color w:val="000000"/>
      <w:spacing w:val="0"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000000"/>
      <w:spacing w:val="0"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color w:val="000000"/>
      <w:spacing w:val="0"/>
      <w:sz w:val="28"/>
    </w:rPr>
  </w:style>
  <w:style w:type="paragraph" w:styleId="a8">
    <w:name w:val="header"/>
    <w:basedOn w:val="a"/>
    <w:link w:val="a9"/>
    <w:uiPriority w:val="99"/>
    <w:unhideWhenUsed/>
    <w:rsid w:val="00FF6C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F6C89"/>
    <w:rPr>
      <w:rFonts w:ascii="Courier New" w:hAnsi="Courier New"/>
    </w:rPr>
  </w:style>
  <w:style w:type="paragraph" w:styleId="aa">
    <w:name w:val="footer"/>
    <w:basedOn w:val="a"/>
    <w:link w:val="ab"/>
    <w:uiPriority w:val="99"/>
    <w:unhideWhenUsed/>
    <w:rsid w:val="00FF6C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F6C89"/>
    <w:rPr>
      <w:rFonts w:ascii="Courier New" w:hAnsi="Courier New"/>
    </w:rPr>
  </w:style>
  <w:style w:type="paragraph" w:customStyle="1" w:styleId="ac">
    <w:name w:val="Таблица"/>
    <w:basedOn w:val="a"/>
    <w:rsid w:val="00FF6C89"/>
    <w:pPr>
      <w:widowControl w:val="0"/>
      <w:autoSpaceDE w:val="0"/>
      <w:autoSpaceDN w:val="0"/>
      <w:adjustRightInd w:val="0"/>
      <w:spacing w:before="20" w:after="20"/>
      <w:jc w:val="left"/>
    </w:pPr>
    <w:rPr>
      <w:rFonts w:ascii="Times New Roman" w:hAnsi="Times New Roman"/>
      <w:color w:val="auto"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4037</Words>
  <Characters>23011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Балдина</cp:lastModifiedBy>
  <cp:revision>2</cp:revision>
  <dcterms:created xsi:type="dcterms:W3CDTF">2026-01-26T06:47:00Z</dcterms:created>
  <dcterms:modified xsi:type="dcterms:W3CDTF">2026-01-26T06:47:00Z</dcterms:modified>
</cp:coreProperties>
</file>