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00" w:rsidRPr="00AE34DE" w:rsidRDefault="00655500" w:rsidP="00655500">
      <w:pPr>
        <w:jc w:val="center"/>
        <w:rPr>
          <w:rFonts w:ascii="Times New Roman" w:hAnsi="Times New Roman"/>
          <w:b/>
          <w:sz w:val="24"/>
          <w:szCs w:val="24"/>
        </w:rPr>
      </w:pPr>
      <w:r w:rsidRPr="00AE34DE">
        <w:rPr>
          <w:rFonts w:ascii="Times New Roman" w:hAnsi="Times New Roman"/>
          <w:b/>
          <w:sz w:val="24"/>
          <w:szCs w:val="24"/>
        </w:rPr>
        <w:t xml:space="preserve">НОВЫЕ ДОКУМЕНТЫ К </w:t>
      </w:r>
      <w:r>
        <w:rPr>
          <w:rFonts w:ascii="Times New Roman" w:hAnsi="Times New Roman"/>
          <w:b/>
          <w:sz w:val="24"/>
          <w:szCs w:val="24"/>
        </w:rPr>
        <w:t>РАССМОТРЕНИЮ НА СЕМИНАРАХ – 2023 (1</w:t>
      </w:r>
      <w:r w:rsidRPr="00AE34DE">
        <w:rPr>
          <w:rFonts w:ascii="Times New Roman" w:hAnsi="Times New Roman"/>
          <w:b/>
          <w:sz w:val="24"/>
          <w:szCs w:val="24"/>
        </w:rPr>
        <w:t>)</w:t>
      </w:r>
    </w:p>
    <w:p w:rsidR="00655500" w:rsidRDefault="00655500">
      <w:pPr>
        <w:jc w:val="center"/>
        <w:rPr>
          <w:rFonts w:ascii="Courier New" w:hAnsi="Courier New"/>
          <w:b/>
          <w:sz w:val="22"/>
        </w:rPr>
      </w:pPr>
    </w:p>
    <w:p w:rsidR="00C81DC3" w:rsidRDefault="00131818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Общие вопросы</w:t>
      </w:r>
    </w:p>
    <w:p w:rsidR="00C81DC3" w:rsidRDefault="00C81DC3">
      <w:pPr>
        <w:rPr>
          <w:rFonts w:ascii="Courier New" w:hAnsi="Courier New"/>
          <w:sz w:val="22"/>
        </w:rPr>
      </w:pPr>
      <w:bookmarkStart w:id="0" w:name="_GoBack"/>
      <w:bookmarkEnd w:id="0"/>
    </w:p>
    <w:tbl>
      <w:tblPr>
        <w:tblW w:w="107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2"/>
        <w:gridCol w:w="4552"/>
        <w:gridCol w:w="1918"/>
        <w:gridCol w:w="1108"/>
        <w:gridCol w:w="840"/>
        <w:gridCol w:w="881"/>
        <w:gridCol w:w="917"/>
      </w:tblGrid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Нарушение сроков проведения налоговой проверки не может быть основанием для оспаривания выводов, сделанных в результате таковых, но могут быть рассмотрены при оспаривании взыскания недоимки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101 НК РФ, статья 46 НК РФ, нарушение </w:t>
            </w:r>
            <w:r>
              <w:rPr>
                <w:rFonts w:ascii="Arial CYR" w:hAnsi="Arial CYR"/>
                <w:color w:val="000000" w:themeColor="dark1"/>
                <w:sz w:val="20"/>
              </w:rPr>
              <w:t>сроков налоговой проверки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СЗО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24/11/22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А56-95029/2021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Разъяснены правила заполнения отдельных разделов ТТН при отправке груза экспедитором с привлечением третьих лиц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Товарно-транспортная накладная, ТТН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Распоряжение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Минтранс России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22/12/22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АК-325-р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Затраты на устранение недостатков по сделке, включающие в составе цены НДС, дают право на взыскание с противной стороны соответствующих убытков за вычетом данной суммы НДС, поскольку вычетом по НДС часть убытков компенсируется в рамках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налогового законодательства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15 ГК РФ, статья 1064 ГК РФ, убытки, возмещение НДС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14/11/22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310-ЭС22-12978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Утверждены Правила расчёта наличной валютой между участниками внешнеэкономической деятельности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Валютные операции, внешнеэко</w:t>
            </w:r>
            <w:r>
              <w:rPr>
                <w:rFonts w:ascii="Arial CYR" w:hAnsi="Arial CYR"/>
                <w:color w:val="000000" w:themeColor="dark1"/>
                <w:sz w:val="20"/>
              </w:rPr>
              <w:t>номическая деятельность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Правительство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26/12/22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2433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Утверждены рекомендации по проведению аудита годовой бухгалтерской отчётности за 2022 год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Годовая бухгалтерская отчётность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23/12/22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07-04-09/126779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Утверждена форма </w:t>
            </w:r>
            <w:r>
              <w:rPr>
                <w:rFonts w:ascii="Arial CYR" w:hAnsi="Arial CYR"/>
                <w:color w:val="000000" w:themeColor="dark1"/>
                <w:sz w:val="20"/>
              </w:rPr>
              <w:t>заявления на получение данных о сальдо по единому налоговому счёту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11.3 НК РФ, статья 45 НК РФ, единый налоговый счёт, сальдо по единому налоговому счёту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14/11/22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ЕД-7-19/1086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Сам по себе факт прекращения уголовного преследования за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уклонение от уплаты налогов в связи с истечением срока давности не исключает при наличии состава гражданско-правового правонарушения возможности взыскания недоимки с виновных лиц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199 УК РФ, прекращение уголовного дела, статья 1064 ГК РФ, возмещение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ущерба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13/12/22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16-КГ22-29-К4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Генеральный директор не вправе устанавливать себе выплаты, не предусмотренные соглашением при приёме на работу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ТК РФ, генеральный директор, оплата труда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16/12/22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305-ЭС22-11727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Утверждена форма уведомления о сумме налога, подлежащего уплате в рамках системы единого налогового платежа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45.2 НК РФ, единый налоговый платёж, уведомление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02/11/22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ЕД-7-8/1047</w:t>
            </w:r>
          </w:p>
        </w:tc>
      </w:tr>
      <w:tr w:rsidR="00C81DC3" w:rsidTr="00655500">
        <w:trPr>
          <w:trHeight w:hRule="exact" w:val="183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Если импорт товаров в Российскую Федерацию осуществля</w:t>
            </w:r>
            <w:r>
              <w:rPr>
                <w:rFonts w:ascii="Arial CYR" w:hAnsi="Arial CYR"/>
                <w:color w:val="000000" w:themeColor="dark1"/>
                <w:sz w:val="20"/>
              </w:rPr>
              <w:t>ется взаимозависимыми лицами, то дивиденды, выплачиваемые импортёром взаимозависимому поставщику, должны включаться в таможенную стоимость поставляемых товаров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ТК ЕврАзЭС, таможенная стоимость, дивиденды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01/12/22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305-ЭС22-11464</w:t>
            </w:r>
          </w:p>
        </w:tc>
      </w:tr>
      <w:tr w:rsidR="00C81DC3" w:rsidTr="00655500">
        <w:trPr>
          <w:trHeight w:hRule="exact" w:val="100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11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Утверждён порядок раскрытия и получения сведений, составляющих налоговую тайну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102 НК РФ, налоговая тайна, раскрытие налоговой тайны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14/11/22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ЕД-7-19/1085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Утверждены новые КБК для страховых взносов за периоды до 2023 года и начиная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с 2023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КБК, страховые взносы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22/11/22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177Н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Признание сделки недействительной без проведения реституции, в том числе в части расчётов, не порождает права на возврат налогов, уплаченных по итогам такой сделки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78 НК РФ, статья 79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НК РФ, недействительность сделки, реституция, возврат налогов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СЗО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15/09/22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А66-13449/21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Принятие налоговым органом налоговых деклараций с заявленной налоговой льготой освобождает от уплаты штрафа в случае отказа в её применении в ход</w:t>
            </w:r>
            <w:r>
              <w:rPr>
                <w:rFonts w:ascii="Arial CYR" w:hAnsi="Arial CYR"/>
                <w:color w:val="000000" w:themeColor="dark1"/>
                <w:sz w:val="20"/>
              </w:rPr>
              <w:t>е выездной налоговой проверки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80 НК РФ, статья 88 НК РФ, статья 89 НК РФ, освобождение от ответственности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ЗСО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А27-12092/2019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Внесены уточнения в Правила оформления путевых листов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Путевой лист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Минтранс России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28/09/22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390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Трёхлетний срок на возврат авансовых платежей должен исчисляться с момента уплаты таковых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78 НК РФ, возврат излишне уплаченного налога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17/11/22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301-ЭС22-21483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Налоговые органы вправе в рамках налоговых проверок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привлекать к участию в них сотрудников полиции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36 НК РФ, органы внутренних дел, органы полиции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Решение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АКПИ22-653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Истребование налоговыми органами документов по конкретной сделке не может подменять собой налоговые проверки, </w:t>
            </w:r>
            <w:r>
              <w:rPr>
                <w:rFonts w:ascii="Arial CYR" w:hAnsi="Arial CYR"/>
                <w:color w:val="000000" w:themeColor="dark1"/>
                <w:sz w:val="20"/>
              </w:rPr>
              <w:t>вследствие чего должно однозначно соотноситься с одной или несколькими сделками и быть ясным, чётким и недвусмысленным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93.1 НК РФ, истребование документов по конкретной сделке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МО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А40-74731/2022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Налоговый орган </w:t>
            </w:r>
            <w:r>
              <w:rPr>
                <w:rFonts w:ascii="Arial CYR" w:hAnsi="Arial CYR"/>
                <w:color w:val="000000" w:themeColor="dark1"/>
                <w:sz w:val="20"/>
              </w:rPr>
              <w:t>правомерно привлёк к субсидиарной ответственности прежнего генерального директора, который выполнял обязанности в проверяемый налоговым органом период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Возмещение ущерба, субсидиарная ответственность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27/09/22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309-ЭС22-17200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Отказ суда </w:t>
            </w:r>
            <w:r>
              <w:rPr>
                <w:rFonts w:ascii="Arial CYR" w:hAnsi="Arial CYR"/>
                <w:color w:val="000000" w:themeColor="dark1"/>
                <w:sz w:val="20"/>
              </w:rPr>
              <w:t>в рассмотрении требования о признании незаконной записи о недостоверности сведений о директоре ввиду подписания заявления в суд таким директором неправомерен, поскольку лишает лицо право на судебную защиту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ЕГРЮЛ, недостоверность сведений, заявление в суд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ВВО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04/08/22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А31-289/22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Наследники имеют право на возврат переплаты по налогам, числящейся за умершим налогоплательщиком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44 НК РФ, статья 78 НК РФ, статья 1183 ГК РФ, переплата по налогу, наследство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Кассационное 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ВС </w:t>
            </w:r>
            <w:r>
              <w:rPr>
                <w:rFonts w:ascii="Arial CYR" w:hAnsi="Arial CYR"/>
                <w:color w:val="000000" w:themeColor="dark1"/>
                <w:sz w:val="20"/>
              </w:rPr>
              <w:t>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31/08/22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18-КАД22-33-К4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начислении налогов налогоплательщику в связи с применением последним схемы "дробления бизнеса" налоговый орган обязан уменьшить начисленные недоимки на </w:t>
            </w:r>
            <w:r w:rsidRPr="00655500">
              <w:rPr>
                <w:rFonts w:ascii="Arial CYR" w:hAnsi="Arial CYR"/>
                <w:color w:val="000000" w:themeColor="dark1"/>
                <w:spacing w:val="-8"/>
                <w:sz w:val="20"/>
              </w:rPr>
              <w:t>фактически уплаченные налоги всей группой лиц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54.1 НК РФ, </w:t>
            </w:r>
            <w:r>
              <w:rPr>
                <w:rFonts w:ascii="Arial CYR" w:hAnsi="Arial CYR"/>
                <w:color w:val="000000" w:themeColor="dark1"/>
                <w:sz w:val="20"/>
              </w:rPr>
              <w:t>взаимозависимые лица, дробление бизнеса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301-ЭС22-11144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Если импорт товаров в Российскую Федерацию осуществляется взаимозависимыми лицами, то дивиденды, выплачиваемые импортёром взаимозависимому поставщику, должны </w:t>
            </w: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включаться в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таможенную стоимость поставляемых товаров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ТК ЕврАзЭС, таможенная стоимость, дивиденды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305-ЭС22-11464</w:t>
            </w:r>
          </w:p>
        </w:tc>
      </w:tr>
      <w:tr w:rsidR="00C81DC3" w:rsidTr="00655500">
        <w:trPr>
          <w:trHeight w:hRule="exact" w:val="132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24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Неправильная квалификация административного правонарушения сама по себе не может быть основанием для признания вынесенного </w:t>
            </w:r>
            <w:r>
              <w:rPr>
                <w:rFonts w:ascii="Arial CYR" w:hAnsi="Arial CYR"/>
                <w:color w:val="000000" w:themeColor="dark1"/>
                <w:sz w:val="20"/>
              </w:rPr>
              <w:t>по делу постановления незаконным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КоАП РФ, неправильная квалификация, незаконность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305-ЭС22-12867</w:t>
            </w:r>
          </w:p>
        </w:tc>
      </w:tr>
      <w:tr w:rsidR="00C81DC3" w:rsidTr="00655500">
        <w:trPr>
          <w:trHeight w:hRule="exact" w:val="142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Налоговый орган не смог опровергнуть реальность хозяйственных операций (в том числе анализировались результаты камеральных прове</w:t>
            </w:r>
            <w:r>
              <w:rPr>
                <w:rFonts w:ascii="Arial CYR" w:hAnsi="Arial CYR"/>
                <w:color w:val="000000" w:themeColor="dark1"/>
                <w:sz w:val="20"/>
              </w:rPr>
              <w:t>рок)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54.1 НК РФ, статья 88 НК РФ, статья 89 НК РФ, необоснованная налоговая выгода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ПО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Ф06-22701/2022</w:t>
            </w:r>
          </w:p>
        </w:tc>
      </w:tr>
      <w:tr w:rsidR="00C81DC3" w:rsidTr="00655500">
        <w:trPr>
          <w:trHeight w:hRule="exact" w:val="147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26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Налоговый орган не смог опровергнуть реальность хозяйственных операций (в том числе анализировались результаты </w:t>
            </w:r>
            <w:r>
              <w:rPr>
                <w:rFonts w:ascii="Arial CYR" w:hAnsi="Arial CYR"/>
                <w:color w:val="000000" w:themeColor="dark1"/>
                <w:sz w:val="20"/>
              </w:rPr>
              <w:t>камеральных проверок)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54.1 НК РФ, статья 88 НК РФ, статья 89 НК РФ, необоснованная налоговая выгода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ПО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Ф06-21852/2022</w:t>
            </w:r>
          </w:p>
        </w:tc>
      </w:tr>
      <w:tr w:rsidR="00C81DC3" w:rsidTr="00655500">
        <w:trPr>
          <w:trHeight w:hRule="exact" w:val="130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27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Организация может быть зарегистрирована в ЕГРЮЛ по адресу жительства учредителя - квартиры, </w:t>
            </w:r>
            <w:r>
              <w:rPr>
                <w:rFonts w:ascii="Arial CYR" w:hAnsi="Arial CYR"/>
                <w:color w:val="000000" w:themeColor="dark1"/>
                <w:sz w:val="20"/>
              </w:rPr>
              <w:t>принадлежащей супруге учредителя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54 ГК РФ, ЕГРЮЛ, юридический адрес, адрес учредителя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19/09/22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03-12-13/90461</w:t>
            </w:r>
          </w:p>
        </w:tc>
      </w:tr>
      <w:tr w:rsidR="00C81DC3" w:rsidTr="00655500">
        <w:trPr>
          <w:trHeight w:hRule="exact" w:val="145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реализации предмета лизинга по заниженной стоимости взаимозависимому лицу налоговым органом правомерно доначислена </w:t>
            </w:r>
            <w:r>
              <w:rPr>
                <w:rFonts w:ascii="Arial CYR" w:hAnsi="Arial CYR"/>
                <w:color w:val="000000" w:themeColor="dark1"/>
                <w:sz w:val="20"/>
              </w:rPr>
              <w:t>заниженная выручка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105.14 НК РФ, взаимозависимые лица, занижение выручки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26/10/22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304-ЭС22-19184</w:t>
            </w:r>
          </w:p>
        </w:tc>
      </w:tr>
      <w:tr w:rsidR="00C81DC3" w:rsidTr="00655500">
        <w:trPr>
          <w:trHeight w:val="214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29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представлении уточнённой налоговой декларации после получения акта налоговой проверки, но до вынесения решения по таковому, </w:t>
            </w:r>
            <w:r>
              <w:rPr>
                <w:rFonts w:ascii="Arial CYR" w:hAnsi="Arial CYR"/>
                <w:color w:val="000000" w:themeColor="dark1"/>
                <w:sz w:val="20"/>
              </w:rPr>
              <w:t>последнее может быть вынесено без учёта уточнённых данных с их последующей проверкой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80 НК РФ, статья 81 НК РФ, статья 88 НК РФ, статья 101 НК РФ, налоговая декларация, уточнённая налоговая декларация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27/10/22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306-ЭС22-19948</w:t>
            </w:r>
          </w:p>
        </w:tc>
      </w:tr>
      <w:tr w:rsidR="00C81DC3" w:rsidTr="00655500">
        <w:trPr>
          <w:trHeight w:val="168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Истребование налоговыми органами документов по конкретной сделке не может подменять собой налоговые проверки, вследствие чего должно однозначно соотноситься с одной или несколькими сделками и быть ясным, чётким и недвусмысленным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93.1 НК РФ, истребов</w:t>
            </w:r>
            <w:r>
              <w:rPr>
                <w:rFonts w:ascii="Arial CYR" w:hAnsi="Arial CYR"/>
                <w:color w:val="000000" w:themeColor="dark1"/>
                <w:sz w:val="20"/>
              </w:rPr>
              <w:t>ание документов по конкретной сделке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ЦО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07/07/22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А35-5409/2021</w:t>
            </w:r>
          </w:p>
        </w:tc>
      </w:tr>
      <w:tr w:rsidR="00C81DC3" w:rsidTr="00655500">
        <w:trPr>
          <w:trHeight w:val="169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Подписание договора о полной материальной ответственности с системным администратором неправомерно, поскольку таковая должность не предусмотрена в перечне должностей, для </w:t>
            </w:r>
            <w:r>
              <w:rPr>
                <w:rFonts w:ascii="Arial CYR" w:hAnsi="Arial CYR"/>
                <w:color w:val="000000" w:themeColor="dark1"/>
                <w:sz w:val="20"/>
              </w:rPr>
              <w:t>которых может быть установлена полная материальная ответственность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244 ТК РФ, материальная ответственность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Роструд России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ПГ/25413-6-1</w:t>
            </w:r>
          </w:p>
        </w:tc>
      </w:tr>
      <w:tr w:rsidR="00C81DC3" w:rsidTr="00655500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32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 Санкт-Петербурге установлен региональный МРОТ в размере 23 500 рублей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133 ТК РФ, </w:t>
            </w:r>
            <w:r>
              <w:rPr>
                <w:rFonts w:ascii="Arial CYR" w:hAnsi="Arial CYR"/>
                <w:color w:val="000000" w:themeColor="dark1"/>
                <w:sz w:val="20"/>
              </w:rPr>
              <w:t>статья 133.1 ТК РФ, МРОТ, региональный МРОТ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Региональное соглашение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C81DC3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12/10/22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365/22-С</w:t>
            </w:r>
          </w:p>
        </w:tc>
      </w:tr>
      <w:tr w:rsidR="00C81DC3" w:rsidTr="00655500">
        <w:trPr>
          <w:trHeight w:hRule="exact" w:val="144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33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Нарушение сроков проведения налоговой проверки не может быть основанием для оспаривания выводов, сделанных в результате таковых, но могут быть рассмотрены при </w:t>
            </w:r>
            <w:r>
              <w:rPr>
                <w:rFonts w:ascii="Arial CYR" w:hAnsi="Arial CYR"/>
                <w:color w:val="000000" w:themeColor="dark1"/>
                <w:sz w:val="20"/>
              </w:rPr>
              <w:t>оспаривании взыскания недоимки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101 НК РФ, статья 46 НК РФ, нарушение сроков налоговой проверки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21/09/22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304-ЭС22-16515</w:t>
            </w:r>
          </w:p>
        </w:tc>
      </w:tr>
      <w:tr w:rsidR="00C81DC3" w:rsidTr="00655500">
        <w:trPr>
          <w:trHeight w:hRule="exact" w:val="123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34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Обжаловать ненормативный акт налогового органа вправе любое лицо, права и законные интересы которого таковым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затрагиваются или могут быть затронуты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138 НК РФ, статья 139 НК РФ, обжалование решения налогового органа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08/11/22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305-ЭС22-20449</w:t>
            </w:r>
          </w:p>
        </w:tc>
      </w:tr>
    </w:tbl>
    <w:p w:rsidR="00C81DC3" w:rsidRDefault="00C81DC3">
      <w:pPr>
        <w:rPr>
          <w:rFonts w:ascii="Courier New" w:hAnsi="Courier New"/>
          <w:sz w:val="22"/>
        </w:rPr>
      </w:pPr>
    </w:p>
    <w:p w:rsidR="00C81DC3" w:rsidRDefault="00C81DC3">
      <w:pPr>
        <w:rPr>
          <w:rFonts w:ascii="Courier New" w:hAnsi="Courier New"/>
          <w:sz w:val="22"/>
        </w:rPr>
      </w:pPr>
    </w:p>
    <w:p w:rsidR="00C81DC3" w:rsidRDefault="00131818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НДС</w:t>
      </w:r>
    </w:p>
    <w:p w:rsidR="00C81DC3" w:rsidRDefault="00C81DC3">
      <w:pPr>
        <w:rPr>
          <w:rFonts w:ascii="Courier New" w:hAnsi="Courier New"/>
          <w:sz w:val="22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3"/>
        <w:gridCol w:w="4560"/>
        <w:gridCol w:w="1920"/>
        <w:gridCol w:w="1097"/>
        <w:gridCol w:w="840"/>
        <w:gridCol w:w="870"/>
        <w:gridCol w:w="983"/>
      </w:tblGrid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уплате НДС с авансов по ставке 20%, а отгрузке - по ставке 10% и 20%, налогоплательщик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имеет право зачесть столько НДС, сколько соотносится с соответствующей отгрузкой, а остальные суммы - зачесть или вернуть из бюджета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171 НК РФ, статья 172 НК РФ, НДС с авансов, ставка 10%, ставка 20%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14/11/22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03-07-11/110368</w:t>
            </w:r>
          </w:p>
        </w:tc>
      </w:tr>
      <w:tr w:rsidR="00C81DC3" w:rsidTr="00655500">
        <w:trPr>
          <w:trHeight w:hRule="exact" w:val="154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Проценты за пользование денежными средствами организации не облагаются НДС, но порождают обязанность по обеспечению раздельного учёта "входящего" НДС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170 НК РФ, проценты по договору займа, штрафные проценты, раздельный учёт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01/12/2</w:t>
            </w: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305-ЭС22-22534</w:t>
            </w:r>
          </w:p>
        </w:tc>
      </w:tr>
      <w:tr w:rsidR="00C81DC3" w:rsidTr="00655500">
        <w:trPr>
          <w:trHeight w:hRule="exact" w:val="14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Бесплатное питание сотрудников, работающих вахтовым методом, признаётся безвозмездной передачей имущества, которая подлежит обложению НДС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146 НК РФ, статья 154 НК РФ, безвозмездная передача имущества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03-15-06/103218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Если основное средство имеет многофункциональное назначение, то весь НДС изначально предъявляется к возмещению из бюджета (раздельный учёт не требуется), а при фактическом использовании такового для необлагаемых операций - </w:t>
            </w:r>
            <w:r>
              <w:rPr>
                <w:rFonts w:ascii="Arial CYR" w:hAnsi="Arial CYR"/>
                <w:color w:val="000000" w:themeColor="dark1"/>
                <w:sz w:val="20"/>
              </w:rPr>
              <w:t>восстанавливается в соответствующей части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149 НК РФ, статья 170 НК РФ, необлагаемые операции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СД-3-3/11361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реализации работ и услуг на территориях новых субъектов Российской Федерации, начатых до воссоединения последних </w:t>
            </w:r>
            <w:r>
              <w:rPr>
                <w:rFonts w:ascii="Arial CYR" w:hAnsi="Arial CYR"/>
                <w:color w:val="000000" w:themeColor="dark1"/>
                <w:sz w:val="20"/>
              </w:rPr>
              <w:t>с Российской Федерацией, восстановление "входящего" НДС по использованным материалам не требуется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148 НК РФ, статья 170 НК РФ, место реализации, восстановление НДС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03-07-08/93724</w:t>
            </w:r>
          </w:p>
        </w:tc>
      </w:tr>
      <w:tr w:rsidR="00C81DC3" w:rsidTr="00655500">
        <w:trPr>
          <w:trHeight w:hRule="exact" w:val="129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Бесплатное питание сотрудников, работающих ва</w:t>
            </w:r>
            <w:r>
              <w:rPr>
                <w:rFonts w:ascii="Arial CYR" w:hAnsi="Arial CYR"/>
                <w:color w:val="000000" w:themeColor="dark1"/>
                <w:sz w:val="20"/>
              </w:rPr>
              <w:t>хтовым методом, признаётся безвозмездной передачей имущества, которая подлежит обложению НДС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146 НК РФ, статья 154 НК РФ, безвозмездная передача имущества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03-07-11/91001</w:t>
            </w:r>
          </w:p>
        </w:tc>
      </w:tr>
      <w:tr w:rsidR="00C81DC3" w:rsidTr="00655500">
        <w:trPr>
          <w:trHeight w:hRule="exact" w:val="178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Неправильное указание в счёт-фактуре ставки НДС не </w:t>
            </w:r>
            <w:r>
              <w:rPr>
                <w:rFonts w:ascii="Arial CYR" w:hAnsi="Arial CYR"/>
                <w:color w:val="000000" w:themeColor="dark1"/>
                <w:sz w:val="20"/>
              </w:rPr>
              <w:t>лишает покупателя права на применение налогового вычета, поскольку таковой не может быть лишён соответствующего права из-за действий третьих лиц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164 НК РФ, ставка 0%, ставка 20%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305-ЭС22-14014</w:t>
            </w:r>
          </w:p>
        </w:tc>
      </w:tr>
      <w:tr w:rsidR="00C81DC3" w:rsidTr="00655500">
        <w:trPr>
          <w:trHeight w:hRule="exact" w:val="12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НДС, подлежащий уплате при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ввозе товаров из стран ЕврАзЭС, будет уплачиваться через единый налоговый счёт, но по правилам данного международного акта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Договор о ЕврАзЭС, ставка 0%, статья 165 НК РФ, уплата "ввозного" НДС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02/09/22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СД-3-3/9545</w:t>
            </w:r>
          </w:p>
        </w:tc>
      </w:tr>
      <w:tr w:rsidR="00C81DC3" w:rsidTr="00655500">
        <w:trPr>
          <w:trHeight w:hRule="exact" w:val="116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Опровержение характера использования актива для необлагаемых операций возлагается на налогоплательщика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149 НК РФ, статья 170 НК РФ, необлагаемые операции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307-ЭС22-18770</w:t>
            </w:r>
          </w:p>
        </w:tc>
      </w:tr>
      <w:tr w:rsidR="00C81DC3" w:rsidTr="00655500">
        <w:trPr>
          <w:trHeight w:val="13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Опровержение характера использования актива для необлагаемых операций возлагается на налогоплательщика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149 НК РФ, статья 170 НК РФ, необлагаемые операции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05/10/22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307-ЭС22-17761</w:t>
            </w:r>
          </w:p>
        </w:tc>
      </w:tr>
      <w:tr w:rsidR="00C81DC3" w:rsidTr="00655500">
        <w:trPr>
          <w:trHeight w:val="19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Применение вычета по НДС со стоимости СМР и в </w:t>
            </w:r>
            <w:r>
              <w:rPr>
                <w:rFonts w:ascii="Arial CYR" w:hAnsi="Arial CYR"/>
                <w:color w:val="000000" w:themeColor="dark1"/>
                <w:sz w:val="20"/>
              </w:rPr>
              <w:t>отношении материалов, использованных для СМР, осуществляется на последнее число каждого квартала, при условии, что СМР предназначены для облагаемых операций и включаются в затраты по налогу на прибыль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171 НК РФ, статья 172 НК РФ, строительно-монтажн</w:t>
            </w:r>
            <w:r>
              <w:rPr>
                <w:rFonts w:ascii="Arial CYR" w:hAnsi="Arial CYR"/>
                <w:color w:val="000000" w:themeColor="dark1"/>
                <w:sz w:val="20"/>
              </w:rPr>
              <w:t>ые работы для собственного потребления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СКО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22/07/22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А53-23957/2021</w:t>
            </w:r>
          </w:p>
        </w:tc>
      </w:tr>
      <w:tr w:rsidR="00C81DC3" w:rsidTr="00655500">
        <w:trPr>
          <w:trHeight w:hRule="exact" w:val="120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НДС, предъявленный к возмещению с авансовых платежей, подлежит восстановлению в том периоде, в котором произошла отгрузка в счёт такого аванса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171 НК РФ, статья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172 НК РФ, восстановление НДС с аванса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03-07-11/84811</w:t>
            </w:r>
          </w:p>
        </w:tc>
      </w:tr>
      <w:tr w:rsidR="00C81DC3" w:rsidTr="00655500">
        <w:trPr>
          <w:trHeight w:hRule="exact" w:val="168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Сумма компенсации недополученной выручки, выплачиваемая арендатором в пользу арендодателя, на основании статьи 162 НК РФ облагается НДС как иная сумма, связанная с расчётами </w:t>
            </w:r>
            <w:r>
              <w:rPr>
                <w:rFonts w:ascii="Arial CYR" w:hAnsi="Arial CYR"/>
                <w:color w:val="000000" w:themeColor="dark1"/>
                <w:sz w:val="20"/>
              </w:rPr>
              <w:t>за реализованные услуги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162 НК РФ, статья 1064 ГК РФ, компенсация недополученной выручки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03-07-11/78840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 01.10.2022 года при приобретении электронных услуг, предусмотренных статьёй 174.2 НК РФ, организациями или </w:t>
            </w:r>
            <w:r>
              <w:rPr>
                <w:rFonts w:ascii="Arial CYR" w:hAnsi="Arial CYR"/>
                <w:color w:val="000000" w:themeColor="dark1"/>
                <w:sz w:val="20"/>
              </w:rPr>
              <w:t>индивидуальными предпринимателями у иностранной организации, не имеющей в Российской Федерации обособленного подразделения, состоящего на налоговом учёте, приобретатели признаются налоговыми агентами по НДС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174.2 НК РФ, статья 148 НК РФ, статья 161 </w:t>
            </w:r>
            <w:r>
              <w:rPr>
                <w:rFonts w:ascii="Arial CYR" w:hAnsi="Arial CYR"/>
                <w:color w:val="000000" w:themeColor="dark1"/>
                <w:sz w:val="20"/>
              </w:rPr>
              <w:t>НК РФ, электронные услуги, налоговое агентирование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Письмо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СД-4-3/10308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Гарантийное устранение недостатков ранее выполненных работ облагается НДС, поскольку таковые выполняются безвозмездно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146 НК РФ, безвозмездная передача, </w:t>
            </w:r>
            <w:r>
              <w:rPr>
                <w:rFonts w:ascii="Arial CYR" w:hAnsi="Arial CYR"/>
                <w:color w:val="000000" w:themeColor="dark1"/>
                <w:sz w:val="20"/>
              </w:rPr>
              <w:t>гарантийные работы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22/07/22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03-07-11/70767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В силу двойственной природы обеспечительного платежа (и обеспечение, и оплата) таковой подлежит обложению НДС в качестве предварительной оплаты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162 НК РФ, обеспечительный платёж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</w:t>
            </w:r>
            <w:r>
              <w:rPr>
                <w:rFonts w:ascii="Arial CYR" w:hAnsi="Arial CYR"/>
                <w:color w:val="000000" w:themeColor="dark1"/>
                <w:sz w:val="20"/>
              </w:rPr>
              <w:t>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СКО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А53-24920/2021</w:t>
            </w:r>
          </w:p>
        </w:tc>
      </w:tr>
    </w:tbl>
    <w:p w:rsidR="00C81DC3" w:rsidRDefault="00C81DC3">
      <w:pPr>
        <w:rPr>
          <w:rFonts w:ascii="Courier New" w:hAnsi="Courier New"/>
          <w:sz w:val="22"/>
        </w:rPr>
      </w:pPr>
    </w:p>
    <w:p w:rsidR="00C81DC3" w:rsidRDefault="00C81DC3">
      <w:pPr>
        <w:rPr>
          <w:rFonts w:ascii="Courier New" w:hAnsi="Courier New"/>
          <w:sz w:val="22"/>
        </w:rPr>
      </w:pPr>
    </w:p>
    <w:p w:rsidR="00C81DC3" w:rsidRDefault="00131818" w:rsidP="00655500">
      <w:pPr>
        <w:pageBreakBefore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lastRenderedPageBreak/>
        <w:t>Налоги на прибыль</w:t>
      </w:r>
    </w:p>
    <w:p w:rsidR="00C81DC3" w:rsidRDefault="00C81DC3">
      <w:pPr>
        <w:rPr>
          <w:rFonts w:ascii="Courier New" w:hAnsi="Courier New"/>
          <w:sz w:val="22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3"/>
        <w:gridCol w:w="4560"/>
        <w:gridCol w:w="1920"/>
        <w:gridCol w:w="1097"/>
        <w:gridCol w:w="840"/>
        <w:gridCol w:w="870"/>
        <w:gridCol w:w="983"/>
      </w:tblGrid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Поскольку осуществляемые налогоплательщиком проектные изыскания были направлены на создание амортизируемого имущества, стоимость которых по статье 270 НК РФ не может быть включена в состав </w:t>
            </w:r>
            <w:r>
              <w:rPr>
                <w:rFonts w:ascii="Arial CYR" w:hAnsi="Arial CYR"/>
                <w:color w:val="000000" w:themeColor="dark1"/>
                <w:sz w:val="20"/>
              </w:rPr>
              <w:t>расходов, то даже в случае их переквалификации таковые не учитываются в целях налогообложения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252 НК РФ, статья 265 НК РФ, капитальные вложения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27/12/22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305-ЭС22-24389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Оплата услуг по управлению организацией, осуществляемых </w:t>
            </w:r>
            <w:r>
              <w:rPr>
                <w:rFonts w:ascii="Arial CYR" w:hAnsi="Arial CYR"/>
                <w:color w:val="000000" w:themeColor="dark1"/>
                <w:sz w:val="20"/>
              </w:rPr>
              <w:t>индивидуальным предпринимателем, не были приняты налоговым органом, поскольку из актов оказанных услуг не усматривается ни объём услуг, ни порядок ценообразования, ни их необходимость для организации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252 НК РФ, услуги по управлению организацией, инд</w:t>
            </w:r>
            <w:r>
              <w:rPr>
                <w:rFonts w:ascii="Arial CYR" w:hAnsi="Arial CYR"/>
                <w:color w:val="000000" w:themeColor="dark1"/>
                <w:sz w:val="20"/>
              </w:rPr>
              <w:t>ивидуальный предприниматель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12/12/22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304-ЭС22-22916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Поскольку осуществляемые налогоплательщиком проектные изыскания им самим были свёрнуты из-за их низкой эффективности, затраты на таковые не могут быть учтены в составе </w:t>
            </w:r>
            <w:r>
              <w:rPr>
                <w:rFonts w:ascii="Arial CYR" w:hAnsi="Arial CYR"/>
                <w:color w:val="000000" w:themeColor="dark1"/>
                <w:sz w:val="20"/>
              </w:rPr>
              <w:t>внереализационных расходов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252 НК РФ, статья 265 НК РФ, капитальные вложения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МО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А40-133756/21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Если заёмное обязательство по договору, заключённому до 01.03.2022 года, было новировано и потом прощено, то подпункт 21.5 пу</w:t>
            </w:r>
            <w:r>
              <w:rPr>
                <w:rFonts w:ascii="Arial CYR" w:hAnsi="Arial CYR"/>
                <w:color w:val="000000" w:themeColor="dark1"/>
                <w:sz w:val="20"/>
              </w:rPr>
              <w:t>нкта 1 статьи 251 НК РФ применяться не может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251 НК РФ, статья 265 НК РФ, новация, прощение долга, внереализационные доходы, проценты по займам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07/11/22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03-03-06/1/107795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Если в соответствии с договором ссуды расходы по содержанию </w:t>
            </w:r>
            <w:r>
              <w:rPr>
                <w:rFonts w:ascii="Arial CYR" w:hAnsi="Arial CYR"/>
                <w:color w:val="000000" w:themeColor="dark1"/>
                <w:sz w:val="20"/>
              </w:rPr>
              <w:t>имущества несёт ссудодатель, то у ссудополучателя не возникает внереализационного дохода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250 НК РФ, безвозмездное пользование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03-03-05/103184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Затраты на бесплатное питание сотрудников, работающих вахтовым методом, признаются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затратами для целей исчисления налога на прибыль, если таковое предусмотрены локальными трудовыми актами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255 НК РФ, статья 270 НК РФ, бесплатное питание работников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03-15-06/103218</w:t>
            </w:r>
          </w:p>
        </w:tc>
      </w:tr>
      <w:tr w:rsidR="00C81DC3" w:rsidTr="00655500">
        <w:trPr>
          <w:trHeight w:hRule="exact" w:val="207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определении срока полезного </w:t>
            </w:r>
            <w:r>
              <w:rPr>
                <w:rFonts w:ascii="Arial CYR" w:hAnsi="Arial CYR"/>
                <w:color w:val="000000" w:themeColor="dark1"/>
                <w:sz w:val="20"/>
              </w:rPr>
              <w:t>использования основного средства можно вычесть срок фактического использования предыдущим собственником (в том числе в рамках договора лизинга), если они были включены в ту же амортизационную группу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258 НК РФ, статья 259.3 НК РФ, срок полезного испо</w:t>
            </w:r>
            <w:r>
              <w:rPr>
                <w:rFonts w:ascii="Arial CYR" w:hAnsi="Arial CYR"/>
                <w:color w:val="000000" w:themeColor="dark1"/>
                <w:sz w:val="20"/>
              </w:rPr>
              <w:t>льзования, предмет лизинга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МФ РФ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03-03-06/1/102779</w:t>
            </w:r>
          </w:p>
        </w:tc>
      </w:tr>
      <w:tr w:rsidR="00C81DC3" w:rsidTr="00655500">
        <w:trPr>
          <w:trHeight w:hRule="exact" w:val="157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Расходы на оплату услуг по поручительству учредителей по кредиту, полученному организацией, не могут учитываться при исчислении налога на прибыль, поскольку представляют собой выплату </w:t>
            </w:r>
            <w:r>
              <w:rPr>
                <w:rFonts w:ascii="Arial CYR" w:hAnsi="Arial CYR"/>
                <w:color w:val="000000" w:themeColor="dark1"/>
                <w:sz w:val="20"/>
              </w:rPr>
              <w:t>дохода самими себе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252 НК РФ, статья 264 НК РФ, оплата услуг поручителя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УО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А76-37391/21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Введение до 31.12.2022 года возможности списания задолженности по долговым обязательствам перед иностранными займодавцами без </w:t>
            </w:r>
            <w:r>
              <w:rPr>
                <w:rFonts w:ascii="Arial CYR" w:hAnsi="Arial CYR"/>
                <w:color w:val="000000" w:themeColor="dark1"/>
                <w:sz w:val="20"/>
              </w:rPr>
              <w:t>включения в состав внереализационных доходов не является основанием для пересмотра уже ранее признанных процентов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251 НК РФ, статья 265 НК РФ, прощение долга, внереализационные доходы, проценты по займам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18/10/22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03-03-06/1/100754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10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реорганизации правопреемник формирует финансовых результат на основании объединения финансовых результатов правопредшественников, даже если таковые являются убытками, но налоговый орган не лишается права установления факта получения необоснованной нало</w:t>
            </w:r>
            <w:r>
              <w:rPr>
                <w:rFonts w:ascii="Arial CYR" w:hAnsi="Arial CYR"/>
                <w:color w:val="000000" w:themeColor="dark1"/>
                <w:sz w:val="20"/>
              </w:rPr>
              <w:t>говой выгоды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50 НК РФ, статья 54.1 НК РФ, статья 283 НК РФ, реорганизация, правопреемство, перенос убытка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18/10/22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03-03-06/100736</w:t>
            </w:r>
          </w:p>
        </w:tc>
      </w:tr>
      <w:tr w:rsidR="00C81DC3" w:rsidTr="00655500">
        <w:trPr>
          <w:trHeight w:hRule="exact" w:val="75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Премии, выплачиваемые сотрудникам, должны быть экономически обоснованными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255 НК РФ, премии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</w:t>
            </w:r>
            <w:r>
              <w:rPr>
                <w:rFonts w:ascii="Arial CYR" w:hAnsi="Arial CYR"/>
                <w:color w:val="000000" w:themeColor="dark1"/>
                <w:sz w:val="20"/>
              </w:rPr>
              <w:t>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307-ЭС22-19742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Изменение первоначальной стоимости НМА статьёй 257 НК РФ не предусмотрено, а затраты на доработку такового рассматриваются как прочие расходы, списываемые равномерно в течение срока использования НМА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257 </w:t>
            </w:r>
            <w:r>
              <w:rPr>
                <w:rFonts w:ascii="Arial CYR" w:hAnsi="Arial CYR"/>
                <w:color w:val="000000" w:themeColor="dark1"/>
                <w:sz w:val="20"/>
              </w:rPr>
              <w:t>НК РФ, НМА, первоначальная стоимость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18/10/22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03-03-06/1/100586</w:t>
            </w:r>
          </w:p>
        </w:tc>
      </w:tr>
      <w:tr w:rsidR="00C81DC3" w:rsidTr="00655500">
        <w:trPr>
          <w:trHeight w:hRule="exact" w:val="171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уменьшении уставного капитала организации в силу требований закона увеличение капитала организации не приводит к возникновению налоговой базы по налогу на прибыль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</w:t>
            </w:r>
            <w:r>
              <w:rPr>
                <w:rFonts w:ascii="Arial CYR" w:hAnsi="Arial CYR"/>
                <w:color w:val="000000" w:themeColor="dark1"/>
                <w:sz w:val="20"/>
              </w:rPr>
              <w:t>250 НК РФ, статья 251 НК РФ, уменьшение уставного капитала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03-03-06/2/97651</w:t>
            </w:r>
          </w:p>
        </w:tc>
      </w:tr>
      <w:tr w:rsidR="00C81DC3" w:rsidTr="00655500">
        <w:trPr>
          <w:trHeight w:hRule="exact" w:val="12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Расходы, связанные с безвозмездной передачей товаров (работ, услуг), не могут быть учтены при исчислении налога на прибыль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252 НК РФ, статья 270 НК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РФ, безвозмездная передача имущества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04/10/22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03-03-07/95571</w:t>
            </w:r>
          </w:p>
        </w:tc>
      </w:tr>
      <w:tr w:rsidR="00C81DC3" w:rsidTr="00655500">
        <w:trPr>
          <w:trHeight w:hRule="exact" w:val="123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Для целей признания электронных документов первичными документами достаточно простой цифровой подписи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252 НК РФ, электронные документы, простая цифровая подпись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04/10/22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03-03-06/1/95482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Расходы по имущественному страхованию могут быть учтены при исчислении налога на прибыль только в случаях, прямо предусмотренных статьёй 263 НК РФ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263 НК РФ, имущественное страхование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03-03-06/2/95063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Должник, обязательство которого прекращается прощением долга, отражает сумму прекращённой задолженности в составе внереализационных доходов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250 НК РФ, прощение долга, списание задолженности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03-03-06/1/94886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Лицензиат простой (неисключительной) лицензии, безвозмездно пользующийся таковой, должен отразить в составе внереализационных доходов рыночную стоимость такого права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250 НК РФ, лицензионный договор, безвозмездное пользование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</w:t>
            </w:r>
            <w:r>
              <w:rPr>
                <w:rFonts w:ascii="Arial CYR" w:hAnsi="Arial CYR"/>
                <w:color w:val="000000" w:themeColor="dark1"/>
                <w:sz w:val="20"/>
              </w:rPr>
              <w:t>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29/09/22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03-03-07/94177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Первоначальная стоимость основного средства, созданного в результате выбытия иного основного средства, увеличивается на остаточную стоимость выбывающего основного средства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256 НК РФ, статья 257 НК РФ, основное </w:t>
            </w:r>
            <w:r>
              <w:rPr>
                <w:rFonts w:ascii="Arial CYR" w:hAnsi="Arial CYR"/>
                <w:color w:val="000000" w:themeColor="dark1"/>
                <w:sz w:val="20"/>
              </w:rPr>
              <w:t>средство, первоначальная стоимость, реконструкция, модернизация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03-03-06/1/93587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Затраты капитального характера подлежат отнесению на увеличение первоначальной стоимости основного средства, при этом сроки формирования </w:t>
            </w:r>
            <w:r>
              <w:rPr>
                <w:rFonts w:ascii="Arial CYR" w:hAnsi="Arial CYR"/>
                <w:color w:val="000000" w:themeColor="dark1"/>
                <w:sz w:val="20"/>
              </w:rPr>
              <w:t>первоначальной стоимости основного средства ничем не ограничены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256 НК РФ, статья 257 НК РФ, основное средство, первоначальная стоимость, реконструкция, модернизация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03-03-06/1/93525</w:t>
            </w:r>
          </w:p>
        </w:tc>
      </w:tr>
      <w:tr w:rsidR="00C81DC3" w:rsidTr="00655500">
        <w:trPr>
          <w:trHeight w:hRule="exact" w:val="15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21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Убытки от действий недружественных стран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не могут быть учтены в целях исчисления налога на прибыль, поскольку статьёй 265 НК РФ таковые прямо не предусмотрены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265 НК РФ, убытки, недружественные страны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03-03-06/1/93596</w:t>
            </w:r>
          </w:p>
        </w:tc>
      </w:tr>
      <w:tr w:rsidR="00C81DC3" w:rsidTr="00655500">
        <w:trPr>
          <w:trHeight w:hRule="exact" w:val="117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Минфин России уточнил правила отражение в теч</w:t>
            </w:r>
            <w:r>
              <w:rPr>
                <w:rFonts w:ascii="Arial CYR" w:hAnsi="Arial CYR"/>
                <w:color w:val="000000" w:themeColor="dark1"/>
                <w:sz w:val="20"/>
              </w:rPr>
              <w:t>ение 2022 года доходов и расходов в виде курсовых разниц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250 НК РФ, статья 265 НК РФ, курсовая разница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03-03-06/1/91668</w:t>
            </w:r>
          </w:p>
        </w:tc>
      </w:tr>
      <w:tr w:rsidR="00C81DC3" w:rsidTr="00655500">
        <w:trPr>
          <w:trHeight w:hRule="exact" w:val="117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Убытки от пожара отражаются в периоде документального подтверждения такового, а страховая выплата - в </w:t>
            </w:r>
            <w:r>
              <w:rPr>
                <w:rFonts w:ascii="Arial CYR" w:hAnsi="Arial CYR"/>
                <w:color w:val="000000" w:themeColor="dark1"/>
                <w:sz w:val="20"/>
              </w:rPr>
              <w:t>момент получения таковой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250 НК РФ, статья 265 НК РФ, стихийное бедствие, пожар, страховая выплата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03-03-06/1/89952</w:t>
            </w:r>
          </w:p>
        </w:tc>
      </w:tr>
      <w:tr w:rsidR="00C81DC3" w:rsidTr="00655500">
        <w:trPr>
          <w:trHeight w:hRule="exact" w:val="103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Минфин России уточнил правила отражение в течение 2022 года доходов и расходов в виде курсовых разниц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</w:t>
            </w:r>
            <w:r>
              <w:rPr>
                <w:rFonts w:ascii="Arial CYR" w:hAnsi="Arial CYR"/>
                <w:color w:val="000000" w:themeColor="dark1"/>
                <w:sz w:val="20"/>
              </w:rPr>
              <w:t>я 250 НК РФ, статья 265 НК РФ, курсовая разница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03-03-06/1/89942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Расходы налогоплательщика могут быть учтены при исчислении налога на прибыль, если таковые соотносятся с полученными доходами, даже если прямо таковые не </w:t>
            </w:r>
            <w:r>
              <w:rPr>
                <w:rFonts w:ascii="Arial CYR" w:hAnsi="Arial CYR"/>
                <w:color w:val="000000" w:themeColor="dark1"/>
                <w:sz w:val="20"/>
              </w:rPr>
              <w:t>предусмотрены НК РФ, но и не запрещены последним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252 НК РФ, статья 270 НК РФ, соотносимость доходов и расходов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07/10/22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305-ЭС22-11287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Премии, выплачиваемые сотрудникам, должны быть экономически обоснованными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255 НК РФ, </w:t>
            </w:r>
            <w:r>
              <w:rPr>
                <w:rFonts w:ascii="Arial CYR" w:hAnsi="Arial CYR"/>
                <w:color w:val="000000" w:themeColor="dark1"/>
                <w:sz w:val="20"/>
              </w:rPr>
              <w:t>премии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ДО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27/05/22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А59-1863/21</w:t>
            </w:r>
          </w:p>
        </w:tc>
      </w:tr>
      <w:tr w:rsidR="00C81DC3" w:rsidTr="00655500">
        <w:trPr>
          <w:trHeight w:hRule="exact" w:val="17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наличии достаточной уверенности в реальности погашения дебиторской задолженности включение таковой в резерв по сомнительным долгам неправомерно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266 НК РФ, сомнительная задолженность, резерв по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сомнительным долгам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МО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25/05/22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А40-56902/21</w:t>
            </w:r>
          </w:p>
        </w:tc>
      </w:tr>
      <w:tr w:rsidR="00C81DC3" w:rsidTr="00655500">
        <w:trPr>
          <w:trHeight w:hRule="exact" w:val="174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28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Невключение в состав внереализационных доходов суммы подлежащей списанию кредиторской задолженности при доказанности налоговым органом взаимозависимости должника и кредитора неправомерно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250 НК РФ, статья 251 НК РФ, кредиторская задолженность, взаимозависимость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20/09/22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305-ЭС22-12778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29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Расходы организации на обучение работников могут быть учтены при исчислении налога на прибыль только в том случае, если стороной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договора на обучение является организация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264 НК РФ, обучение сотрудников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03-03-06/1/80270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Убытки в виде невозвращаемого аванса от одностороннего расторжения договора могут быть в составе внереализационных расходов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</w:t>
            </w:r>
            <w:r>
              <w:rPr>
                <w:rFonts w:ascii="Arial CYR" w:hAnsi="Arial CYR"/>
                <w:color w:val="000000" w:themeColor="dark1"/>
                <w:sz w:val="20"/>
              </w:rPr>
              <w:t>265 НК РФ, одностороннее расторжение договора, убытки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03-03-06/1/82167</w:t>
            </w:r>
          </w:p>
        </w:tc>
      </w:tr>
      <w:tr w:rsidR="00C81DC3" w:rsidTr="0065550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Расходы по содержанию имущества, переданного в безвозмездное пользование, не могут учитываться при исчислении налога на прибыль, поскольку не отвечают требован</w:t>
            </w:r>
            <w:r>
              <w:rPr>
                <w:rFonts w:ascii="Arial CYR" w:hAnsi="Arial CYR"/>
                <w:color w:val="000000" w:themeColor="dark1"/>
                <w:sz w:val="20"/>
              </w:rPr>
              <w:t>иям статьи 252 НК РФ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252 НК РФ, статья 270 НК РФ, безвозмездное пользование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03-07-11/74909</w:t>
            </w:r>
          </w:p>
        </w:tc>
      </w:tr>
    </w:tbl>
    <w:p w:rsidR="00C81DC3" w:rsidRDefault="00C81DC3">
      <w:pPr>
        <w:rPr>
          <w:rFonts w:ascii="Courier New" w:hAnsi="Courier New"/>
          <w:sz w:val="22"/>
        </w:rPr>
      </w:pPr>
    </w:p>
    <w:p w:rsidR="00C81DC3" w:rsidRDefault="00C81DC3">
      <w:pPr>
        <w:rPr>
          <w:rFonts w:ascii="Courier New" w:hAnsi="Courier New"/>
          <w:sz w:val="22"/>
        </w:rPr>
      </w:pPr>
    </w:p>
    <w:p w:rsidR="00C81DC3" w:rsidRDefault="00131818" w:rsidP="00655500">
      <w:pPr>
        <w:pageBreakBefore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lastRenderedPageBreak/>
        <w:t>Зарплатные налоги</w:t>
      </w:r>
    </w:p>
    <w:p w:rsidR="00C81DC3" w:rsidRDefault="00C81DC3">
      <w:pPr>
        <w:rPr>
          <w:rFonts w:ascii="Courier New" w:hAnsi="Courier New"/>
          <w:sz w:val="22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571"/>
        <w:gridCol w:w="1920"/>
        <w:gridCol w:w="1097"/>
        <w:gridCol w:w="840"/>
        <w:gridCol w:w="870"/>
        <w:gridCol w:w="983"/>
      </w:tblGrid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Разъяснения по применению ЕФС-1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ЕФС-1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ПФР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14/12/22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В-109546-19/143909-22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Утверждена объединённая форма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ЕФС-1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ЕФС-1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Правление ПФР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245П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Налоговый орган переквалифицировал договор по управлению организацией с индивидуальным предпринимателем в трудовой договор, доначислив страховые взносы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420 НК РФ, услуги по управлению </w:t>
            </w:r>
            <w:r>
              <w:rPr>
                <w:rFonts w:ascii="Arial CYR" w:hAnsi="Arial CYR"/>
                <w:color w:val="000000" w:themeColor="dark1"/>
                <w:sz w:val="20"/>
              </w:rPr>
              <w:t>организацией, индивидуальный предприниматель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12/12/22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304-ЭС22-22916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Документально неподтверждённые подотчётные суммы и фиктивные займы налоговый орган переквалифицировал в оплату труда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статья 422 НК РФ, подотчётные с</w:t>
            </w:r>
            <w:r>
              <w:rPr>
                <w:rFonts w:ascii="Arial CYR" w:hAnsi="Arial CYR"/>
                <w:color w:val="000000" w:themeColor="dark1"/>
                <w:sz w:val="20"/>
              </w:rPr>
              <w:t>уммы, заём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09/12/22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306-ЭС22-23045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Утверждены новые КБК для страховых взносов за периоды до 2023 года и начиная с 2023 года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КБК, страховые взносы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22/11/22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177Н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Затраты на бесплатное питание сотрудников, работающих </w:t>
            </w:r>
            <w:r>
              <w:rPr>
                <w:rFonts w:ascii="Arial CYR" w:hAnsi="Arial CYR"/>
                <w:color w:val="000000" w:themeColor="dark1"/>
                <w:sz w:val="20"/>
              </w:rPr>
              <w:t>вахтовым методом, признаются объектом обложения страховыми взносами, даже если таковое предусмотрены локальными трудовыми актами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статья 422 НК РФ, бесплатное питание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03-15-06/103218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Утверждены упрощённые правила </w:t>
            </w:r>
            <w:r>
              <w:rPr>
                <w:rFonts w:ascii="Arial CYR" w:hAnsi="Arial CYR"/>
                <w:color w:val="000000" w:themeColor="dark1"/>
                <w:sz w:val="20"/>
              </w:rPr>
              <w:t>проведения специальной оценки условий труда микропредприятиями, занятыми "офисными" видами деятельности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Специальная оценка условий труда, ТК РФ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Минтруд России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699Н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8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Установлена предельная сумма для применения регрессивной ставки по страхо</w:t>
            </w:r>
            <w:r>
              <w:rPr>
                <w:rFonts w:ascii="Arial CYR" w:hAnsi="Arial CYR"/>
                <w:color w:val="000000" w:themeColor="dark1"/>
                <w:sz w:val="20"/>
              </w:rPr>
              <w:t>вым взносам на 2023 год в размере 1 917 000 рублей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Предельная сумма страховых взносов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Правительство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25/11/22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2143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9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перерасчёте при увольнении работника отпускных, выплаченных авансом, представление уточнённых расчётом по страховым </w:t>
            </w:r>
            <w:r>
              <w:rPr>
                <w:rFonts w:ascii="Arial CYR" w:hAnsi="Arial CYR"/>
                <w:color w:val="000000" w:themeColor="dark1"/>
                <w:sz w:val="20"/>
              </w:rPr>
              <w:t>взносам не требуется, поскольку отсутствует ошибка в исчислении страховых взносов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отпускные, уточнённый расчёт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03-15-05/100327</w:t>
            </w:r>
          </w:p>
        </w:tc>
      </w:tr>
      <w:tr w:rsidR="00C81DC3" w:rsidTr="00655500">
        <w:trPr>
          <w:trHeight w:hRule="exact" w:val="98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Оплата жилья сотруднику не облагается страховыми взносами, поскольку таковая не являе</w:t>
            </w:r>
            <w:r>
              <w:rPr>
                <w:rFonts w:ascii="Arial CYR" w:hAnsi="Arial CYR"/>
                <w:color w:val="000000" w:themeColor="dark1"/>
                <w:sz w:val="20"/>
              </w:rPr>
              <w:t>тся элементом оплаты труда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статья 422 НК РФ, проживание работников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СЗО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04/07/22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А44-4571/21</w:t>
            </w:r>
          </w:p>
        </w:tc>
      </w:tr>
      <w:tr w:rsidR="00C81DC3" w:rsidTr="00655500">
        <w:trPr>
          <w:trHeight w:hRule="exact" w:val="57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Утверждены новые формы персонифицированной отчётности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Персонифицированная отчётность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ПФР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13/10/22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216П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России утвердила новую форму расчёта по страховым взносам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431 НК РФ, расчёт по страховым взносам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29/09/22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ЕД-7-11/878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 01.01.2023 года в отношении выплат по гражданско-правовым договорам страховые взносы в части временной </w:t>
            </w:r>
            <w:r>
              <w:rPr>
                <w:rFonts w:ascii="Arial CYR" w:hAnsi="Arial CYR"/>
                <w:color w:val="000000" w:themeColor="dark1"/>
                <w:sz w:val="20"/>
              </w:rPr>
              <w:t>нетрудоспособности подлежат начислению, а право на пособие возникает, если в течение года, предшествующего страховому случаю за лицо взносы были уплачены в размере не менее стоимости страхового года (12*МРОТ*2,9%)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статья 422 НК РФ, страхо</w:t>
            </w:r>
            <w:r>
              <w:rPr>
                <w:rFonts w:ascii="Arial CYR" w:hAnsi="Arial CYR"/>
                <w:color w:val="000000" w:themeColor="dark1"/>
                <w:sz w:val="20"/>
              </w:rPr>
              <w:t>вые взносы в части социального обеспечения, пособие по временной нетрудоспособности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Минтруд России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05/08/22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17-1/В-103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При принятии решения суда о выплате работнику среднего заработка за период </w:t>
            </w: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незаконного увольнения организация обязана подать у</w:t>
            </w:r>
            <w:r>
              <w:rPr>
                <w:rFonts w:ascii="Arial CYR" w:hAnsi="Arial CYR"/>
                <w:color w:val="000000" w:themeColor="dark1"/>
                <w:sz w:val="20"/>
              </w:rPr>
              <w:t>точнённые расчёты по страховым взносам за соответствующие периоды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 xml:space="preserve">Статья 420 НК РФ, решение </w:t>
            </w: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суда, средний заработок, уточнённый расчёт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26/08/22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ЕА-3-15/9241</w:t>
            </w:r>
          </w:p>
        </w:tc>
      </w:tr>
      <w:tr w:rsidR="00C81DC3" w:rsidTr="00655500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15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ИТ-компания обязана по итогам каждого отчётного (расчётного) периода </w:t>
            </w:r>
            <w:r>
              <w:rPr>
                <w:rFonts w:ascii="Arial CYR" w:hAnsi="Arial CYR"/>
                <w:color w:val="000000" w:themeColor="dark1"/>
                <w:sz w:val="20"/>
              </w:rPr>
              <w:t>соответствовать критериям для применения пониженных тарифов страховых взносов, а в противном случае - пересчёт с начала расчётного периода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427 НК РФ, ИТ-компания, пониженные тарифы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08/07/22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03-03-06/1/65703</w:t>
            </w:r>
          </w:p>
        </w:tc>
      </w:tr>
      <w:tr w:rsidR="00C81DC3" w:rsidTr="00655500">
        <w:trPr>
          <w:trHeight w:hRule="exact" w:val="1478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Премии работникам к празд</w:t>
            </w:r>
            <w:r>
              <w:rPr>
                <w:rFonts w:ascii="Arial CYR" w:hAnsi="Arial CYR"/>
                <w:color w:val="000000" w:themeColor="dark1"/>
                <w:sz w:val="20"/>
              </w:rPr>
              <w:t>ничным дням не облагаются страховыми взносами, поскольку не являются элементами оплаты труда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420 НК РФ, статья 422 НК РФ, социальные выплаты, премия к празднику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СЗО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11/08/22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А13-14328/2021</w:t>
            </w:r>
          </w:p>
        </w:tc>
      </w:tr>
    </w:tbl>
    <w:p w:rsidR="00C81DC3" w:rsidRDefault="00C81DC3">
      <w:pPr>
        <w:rPr>
          <w:rFonts w:ascii="Courier New" w:hAnsi="Courier New"/>
          <w:sz w:val="22"/>
        </w:rPr>
      </w:pPr>
    </w:p>
    <w:p w:rsidR="00C81DC3" w:rsidRDefault="00C81DC3">
      <w:pPr>
        <w:rPr>
          <w:rFonts w:ascii="Courier New" w:hAnsi="Courier New"/>
          <w:sz w:val="22"/>
        </w:rPr>
      </w:pPr>
    </w:p>
    <w:p w:rsidR="00C81DC3" w:rsidRDefault="00131818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НДФЛ</w:t>
      </w:r>
    </w:p>
    <w:p w:rsidR="00C81DC3" w:rsidRDefault="00C81DC3">
      <w:pPr>
        <w:rPr>
          <w:rFonts w:ascii="Courier New" w:hAnsi="Courier New"/>
          <w:sz w:val="22"/>
        </w:rPr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8"/>
        <w:gridCol w:w="4575"/>
        <w:gridCol w:w="1920"/>
        <w:gridCol w:w="1097"/>
        <w:gridCol w:w="840"/>
        <w:gridCol w:w="870"/>
        <w:gridCol w:w="1125"/>
      </w:tblGrid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Налоговый орган </w:t>
            </w:r>
            <w:r>
              <w:rPr>
                <w:rFonts w:ascii="Arial CYR" w:hAnsi="Arial CYR"/>
                <w:color w:val="000000" w:themeColor="dark1"/>
                <w:sz w:val="20"/>
              </w:rPr>
              <w:t>переквалифицировал договор по управлению организацией с индивидуальным предпринимателем в трудовой договор, доначислив НДФЛ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210 НК РФ, услуги по управлению организацией, индивидуальный предприниматель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12/12/22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304-ЭС22-22916</w:t>
            </w:r>
          </w:p>
        </w:tc>
      </w:tr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Утверждён перечень спортивных организаций, занятия в которых дают право на применение социального налогового вычета по НДФЛ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219 НК РФ, социальный налоговый вычет, занятия спортом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Информация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Минспорт России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02/12/22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C81DC3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</w:p>
        </w:tc>
      </w:tr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Затраты на бесплатное питание </w:t>
            </w:r>
            <w:r>
              <w:rPr>
                <w:rFonts w:ascii="Arial CYR" w:hAnsi="Arial CYR"/>
                <w:color w:val="000000" w:themeColor="dark1"/>
                <w:sz w:val="20"/>
              </w:rPr>
              <w:t>сотрудников, работающих вахтовым методом, признаются объектом обложения НДФЛ, даже если таковое предусмотрены локальными трудовыми актами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211 НК РФ, статья 217 НК РФ, доход в натуральной форме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25/10/22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03-15-06/103218</w:t>
            </w:r>
          </w:p>
        </w:tc>
      </w:tr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ФНС России </w:t>
            </w:r>
            <w:r>
              <w:rPr>
                <w:rFonts w:ascii="Arial CYR" w:hAnsi="Arial CYR"/>
                <w:color w:val="000000" w:themeColor="dark1"/>
                <w:sz w:val="20"/>
              </w:rPr>
              <w:t>разъяснила правила исчисления НДФЛ в переходном периоде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226 НК РФ, налоговый агент, переходный период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09/11/22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БС-4-11/15099</w:t>
            </w:r>
          </w:p>
        </w:tc>
      </w:tr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Налоговые органы посредством информации от ФСБ РФ и МВД РФ доказали наличие у физического лица статуса нало</w:t>
            </w:r>
            <w:r>
              <w:rPr>
                <w:rFonts w:ascii="Arial CYR" w:hAnsi="Arial CYR"/>
                <w:color w:val="000000" w:themeColor="dark1"/>
                <w:sz w:val="20"/>
              </w:rPr>
              <w:t>гового нерезидента, вследствие чего НДФЛ был пересчитан по ставке 30% (вместо 13%)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207 НК РФ, статья 208 НК РФ, статья 224 НК РФ, налоговый нерезидент, ставка 30%, ставка 13%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31/10/22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307-ЭС22-19742</w:t>
            </w:r>
          </w:p>
        </w:tc>
      </w:tr>
      <w:tr w:rsidR="00C81DC3" w:rsidTr="00655500">
        <w:trPr>
          <w:trHeight w:hRule="exact" w:val="126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Материальная выгода, </w:t>
            </w:r>
            <w:r>
              <w:rPr>
                <w:rFonts w:ascii="Arial CYR" w:hAnsi="Arial CYR"/>
                <w:color w:val="000000" w:themeColor="dark1"/>
                <w:sz w:val="20"/>
              </w:rPr>
              <w:t>возникающая в течение 2021 - 2023 годов освобождается от НДФЛ в силу прямого указания статьи 217 НК РФ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212 НК РФ, статья 217 НК РФ, материальная выгода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29/09/22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03-04-06/94185</w:t>
            </w:r>
          </w:p>
        </w:tc>
      </w:tr>
      <w:tr w:rsidR="00C81DC3" w:rsidTr="00655500">
        <w:trPr>
          <w:trHeight w:hRule="exact" w:val="207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Разъяснены вопросы исполнения обязанности налогового аген</w:t>
            </w:r>
            <w:r>
              <w:rPr>
                <w:rFonts w:ascii="Arial CYR" w:hAnsi="Arial CYR"/>
                <w:color w:val="000000" w:themeColor="dark1"/>
                <w:sz w:val="20"/>
              </w:rPr>
              <w:t>та в отношении выплаты работникам организации, фактически находящимся за пределами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207 НК РФ, статья 208 НК РФ, статья 226 НК РФ, статья 228 НК РФ, налоговый резидент, налоговый нерезидент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16/09/22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03-04-06/89789</w:t>
            </w:r>
          </w:p>
        </w:tc>
      </w:tr>
      <w:tr w:rsidR="00C81DC3" w:rsidTr="00655500">
        <w:trPr>
          <w:trHeight w:hRule="exact" w:val="166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8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Найм жилья для работника не включается в состав налоговой базы по НДФЛ, так как у работника не возникает экономической выгоды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210 НК РФ, статья 211 НК РФ, доход в натуральной форме, найм жилья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Постановление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ФАС СЗО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04/07/22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А44-4571/21</w:t>
            </w:r>
          </w:p>
        </w:tc>
      </w:tr>
      <w:tr w:rsidR="00C81DC3" w:rsidTr="00655500">
        <w:trPr>
          <w:trHeight w:hRule="exact" w:val="130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Утверждены коэффициенты-дефляторы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227 НК РФ, статья 230 НК РФ, коэффициенты-дефляторы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МЭРТ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19/10/22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573</w:t>
            </w:r>
          </w:p>
        </w:tc>
      </w:tr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Утверждена новая форма 6-НДФЛ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226 НК РФ, статья 230 НК РФ, 6-НДФЛ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29/09/22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ЕД-7-11/881</w:t>
            </w:r>
          </w:p>
        </w:tc>
      </w:tr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Налоговый орган </w:t>
            </w:r>
            <w:r>
              <w:rPr>
                <w:rFonts w:ascii="Arial CYR" w:hAnsi="Arial CYR"/>
                <w:color w:val="000000" w:themeColor="dark1"/>
                <w:sz w:val="20"/>
              </w:rPr>
              <w:t>доказал использование схемы с выводом денежных средств на зависимого индивидуального предпринимателя, вследствие чего начислил НДФЛ налоговому агенту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226 НК РФ, статья 230 НК РФ, схема с ИП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08/09/22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309-ЭС22-15389</w:t>
            </w:r>
          </w:p>
        </w:tc>
      </w:tr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Доходы от </w:t>
            </w:r>
            <w:r>
              <w:rPr>
                <w:rFonts w:ascii="Arial CYR" w:hAnsi="Arial CYR"/>
                <w:color w:val="000000" w:themeColor="dark1"/>
                <w:sz w:val="20"/>
              </w:rPr>
              <w:t>использования общего имущества супругов, полученные одним из них с согласия другого супруга, признаются доходом только первого супруга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207 НК РФ, статья 210 НК РФ, статья 256 ГК РФ, статья 34 СК РФ, совместное имущество супругов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Кассационное определ</w:t>
            </w:r>
            <w:r>
              <w:rPr>
                <w:rFonts w:ascii="Arial CYR" w:hAnsi="Arial CYR"/>
                <w:color w:val="000000" w:themeColor="dark1"/>
                <w:sz w:val="20"/>
              </w:rPr>
              <w:t>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03/08/22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50-КАД22-5-К8</w:t>
            </w:r>
          </w:p>
        </w:tc>
      </w:tr>
      <w:tr w:rsidR="00C81DC3" w:rsidTr="00655500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Получение беспроцентного займа одним индивидуальным предпринимателем от другого индивидуального предпринимателя влечёт для первого из них обязанность по исчислению НДФЛ с полученной материальной выгоды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212 НК </w:t>
            </w:r>
            <w:r>
              <w:rPr>
                <w:rFonts w:ascii="Arial CYR" w:hAnsi="Arial CYR"/>
                <w:color w:val="000000" w:themeColor="dark1"/>
                <w:sz w:val="20"/>
              </w:rPr>
              <w:t>РФ, беспроцентный заём, индивидуальный предприниматель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24/08/22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304-ЭС22-15430</w:t>
            </w:r>
          </w:p>
        </w:tc>
      </w:tr>
    </w:tbl>
    <w:p w:rsidR="00C81DC3" w:rsidRDefault="00C81DC3">
      <w:pPr>
        <w:rPr>
          <w:rFonts w:ascii="Courier New" w:hAnsi="Courier New"/>
          <w:sz w:val="22"/>
        </w:rPr>
      </w:pPr>
    </w:p>
    <w:p w:rsidR="00C81DC3" w:rsidRDefault="00C81DC3">
      <w:pPr>
        <w:rPr>
          <w:rFonts w:ascii="Courier New" w:hAnsi="Courier New"/>
          <w:sz w:val="22"/>
        </w:rPr>
      </w:pPr>
    </w:p>
    <w:p w:rsidR="00C81DC3" w:rsidRDefault="00131818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Транспортный налог</w:t>
      </w:r>
    </w:p>
    <w:p w:rsidR="00C81DC3" w:rsidRDefault="00C81DC3">
      <w:pPr>
        <w:rPr>
          <w:rFonts w:ascii="Courier New" w:hAnsi="Courier New"/>
          <w:sz w:val="22"/>
        </w:rPr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571"/>
        <w:gridCol w:w="1935"/>
        <w:gridCol w:w="1082"/>
        <w:gridCol w:w="840"/>
        <w:gridCol w:w="873"/>
        <w:gridCol w:w="1122"/>
      </w:tblGrid>
      <w:tr w:rsidR="00C81DC3" w:rsidTr="00655500">
        <w:trPr>
          <w:trHeight w:val="125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Непредставление в налоговый орган справки о нахождении транспортного средства в розыске не может быть основанием для взыскания налога,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поскольку данная информация может  быть получена иными способами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358 НК РФ, угон транспортного средства, хищение транспортного средства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Кассационное определение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ВС РФ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24/08/22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33-КАД22-4-К3</w:t>
            </w:r>
          </w:p>
        </w:tc>
      </w:tr>
    </w:tbl>
    <w:p w:rsidR="00C81DC3" w:rsidRDefault="00C81DC3">
      <w:pPr>
        <w:rPr>
          <w:rFonts w:ascii="Courier New" w:hAnsi="Courier New"/>
          <w:sz w:val="22"/>
        </w:rPr>
      </w:pPr>
    </w:p>
    <w:p w:rsidR="00C81DC3" w:rsidRDefault="00C81DC3">
      <w:pPr>
        <w:rPr>
          <w:rFonts w:ascii="Courier New" w:hAnsi="Courier New"/>
          <w:sz w:val="22"/>
        </w:rPr>
      </w:pPr>
    </w:p>
    <w:p w:rsidR="00C81DC3" w:rsidRDefault="00131818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Имущественные налоги</w:t>
      </w:r>
    </w:p>
    <w:p w:rsidR="00C81DC3" w:rsidRDefault="00C81DC3">
      <w:pPr>
        <w:rPr>
          <w:rFonts w:ascii="Courier New" w:hAnsi="Courier New"/>
          <w:sz w:val="22"/>
        </w:rPr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4571"/>
        <w:gridCol w:w="1935"/>
        <w:gridCol w:w="1082"/>
        <w:gridCol w:w="840"/>
        <w:gridCol w:w="885"/>
        <w:gridCol w:w="1110"/>
      </w:tblGrid>
      <w:tr w:rsidR="00C81DC3" w:rsidTr="00655500">
        <w:trPr>
          <w:trHeight w:hRule="exact" w:val="141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Обоснованность отражения </w:t>
            </w:r>
            <w:r>
              <w:rPr>
                <w:rFonts w:ascii="Arial CYR" w:hAnsi="Arial CYR"/>
                <w:color w:val="000000" w:themeColor="dark1"/>
                <w:sz w:val="20"/>
              </w:rPr>
              <w:t>налогоплательщиком объекта недвижимости на счёте 41 может быть проверена налоговым органом в ходе мероприятий налогового контроля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НК РФ, объект обложения, недвижимость, основные средства, товары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15/09/22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БС-3-21/10024</w:t>
            </w:r>
          </w:p>
        </w:tc>
      </w:tr>
      <w:tr w:rsidR="00C81DC3" w:rsidTr="00655500">
        <w:trPr>
          <w:trHeight w:hRule="exact" w:val="1212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Утверждена</w:t>
            </w:r>
            <w:r>
              <w:rPr>
                <w:rFonts w:ascii="Arial CYR" w:hAnsi="Arial CYR"/>
                <w:color w:val="000000" w:themeColor="dark1"/>
                <w:sz w:val="20"/>
              </w:rPr>
              <w:t xml:space="preserve"> новая форма налоговой декларации по налогу на имущество организаций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Налоговая декларация по налогу на имущество организаций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Приказ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24/08/22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ЕД-7-21/766</w:t>
            </w:r>
          </w:p>
        </w:tc>
      </w:tr>
      <w:tr w:rsidR="00C81DC3" w:rsidTr="00655500">
        <w:trPr>
          <w:trHeight w:hRule="exact" w:val="145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lastRenderedPageBreak/>
              <w:t>3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Налоговые органы не вправе проверять обоснованность исчисленного налогоплательщиком </w:t>
            </w:r>
            <w:r>
              <w:rPr>
                <w:rFonts w:ascii="Arial CYR" w:hAnsi="Arial CYR"/>
                <w:color w:val="000000" w:themeColor="dark1"/>
                <w:sz w:val="20"/>
              </w:rPr>
              <w:t>обесценения основных средств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НК РФ, основное средство, среднегодовая стоимость, обесценение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31/08/22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БС-4-21/11468</w:t>
            </w:r>
          </w:p>
        </w:tc>
      </w:tr>
      <w:tr w:rsidR="00C81DC3" w:rsidTr="00655500">
        <w:trPr>
          <w:trHeight w:hRule="exact" w:val="130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4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ФНС России разъяснила отдельные вопросы исчислению налога на имущество в части деления движимого и недвижимого </w:t>
            </w:r>
            <w:r>
              <w:rPr>
                <w:rFonts w:ascii="Arial CYR" w:hAnsi="Arial CYR"/>
                <w:color w:val="000000" w:themeColor="dark1"/>
                <w:sz w:val="20"/>
              </w:rPr>
              <w:t>имущества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НК РФ, недвижимое имущество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России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08/07/22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БС-3-21/7173</w:t>
            </w:r>
          </w:p>
        </w:tc>
      </w:tr>
      <w:tr w:rsidR="00C81DC3" w:rsidTr="00655500">
        <w:trPr>
          <w:trHeight w:val="1352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5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 01.01.2023 года российские организации не заполняют раздел №3 налоговой декларации по налогу на имущество в отношении недвижимости, по которой налоговая база </w:t>
            </w:r>
            <w:r>
              <w:rPr>
                <w:rFonts w:ascii="Arial CYR" w:hAnsi="Arial CYR"/>
                <w:color w:val="000000" w:themeColor="dark1"/>
                <w:sz w:val="20"/>
              </w:rPr>
              <w:t>исчисляется как кадастровая стоимость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386 НК РФ, налоговая декларация, кадастровая стоимость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08/07/22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БС-4-21/8708</w:t>
            </w:r>
          </w:p>
        </w:tc>
      </w:tr>
      <w:tr w:rsidR="00C81DC3" w:rsidTr="00655500">
        <w:trPr>
          <w:trHeight w:hRule="exact" w:val="124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6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Факт принятия недвижимости в качестве объекта основных средств не зависит от государственной регистрации прав на </w:t>
            </w:r>
            <w:r>
              <w:rPr>
                <w:rFonts w:ascii="Arial CYR" w:hAnsi="Arial CYR"/>
                <w:color w:val="000000" w:themeColor="dark1"/>
                <w:sz w:val="20"/>
              </w:rPr>
              <w:t>таковую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НК РФ, недвижимое имущество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14/07/22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07-01-09/67963</w:t>
            </w:r>
          </w:p>
        </w:tc>
      </w:tr>
      <w:tr w:rsidR="00C81DC3" w:rsidTr="00655500">
        <w:trPr>
          <w:trHeight w:hRule="exact" w:val="102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7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России направила обзор по исчислению налога на имущество в части деления движимого и недвижимого имущества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НК РФ, недвижимое имущество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ФНС России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16/08/22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СД-4-21/10747</w:t>
            </w:r>
          </w:p>
        </w:tc>
      </w:tr>
      <w:tr w:rsidR="00C81DC3" w:rsidTr="00655500">
        <w:trPr>
          <w:trHeight w:val="181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8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По объектам незавершённого строительства налог на имущество подлежит уплате только исходя из кадастровой стоимости, при условии введения такой обязанности в субъекте Российской Федерации и постановки на учёт в ЕГРН данного объекта недвижимости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374 </w:t>
            </w:r>
            <w:r>
              <w:rPr>
                <w:rFonts w:ascii="Arial CYR" w:hAnsi="Arial CYR"/>
                <w:color w:val="000000" w:themeColor="dark1"/>
                <w:sz w:val="20"/>
              </w:rPr>
              <w:t>НК РФ, статья 378.2 НК РФ, объект незавершённого строительства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18/05/22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03-05-05-01/45806</w:t>
            </w:r>
          </w:p>
        </w:tc>
      </w:tr>
      <w:tr w:rsidR="00C81DC3" w:rsidTr="00655500">
        <w:trPr>
          <w:trHeight w:hRule="exact" w:val="1425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9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При списании с баланса объекта недвижимости, являющегося основным средством, объект налогообложения налогом на имущество организаций исчезает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Статья </w:t>
            </w:r>
            <w:r>
              <w:rPr>
                <w:rFonts w:ascii="Arial CYR" w:hAnsi="Arial CYR"/>
                <w:color w:val="000000" w:themeColor="dark1"/>
                <w:sz w:val="20"/>
              </w:rPr>
              <w:t>374 НК РФ, объект обложения, списание с баланса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23/05/22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03-05-05-01/47596</w:t>
            </w:r>
          </w:p>
        </w:tc>
      </w:tr>
      <w:tr w:rsidR="00C81DC3" w:rsidTr="00655500">
        <w:trPr>
          <w:trHeight w:hRule="exact" w:val="183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10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Существенные затраты, направленные на восстановление свойств и качеств основного средства в соответствии с ФСБУ 26/2020 признаются капитальными вложениями, </w:t>
            </w:r>
            <w:r>
              <w:rPr>
                <w:rFonts w:ascii="Arial CYR" w:hAnsi="Arial CYR"/>
                <w:color w:val="000000" w:themeColor="dark1"/>
                <w:sz w:val="20"/>
              </w:rPr>
              <w:t>вследствие чего в дальнейшем относятся на удорожание соответствующего основного средства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НК РФ, объект обложения, капитальный ремонт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30/03/22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03-05-05-01/25799</w:t>
            </w:r>
          </w:p>
        </w:tc>
      </w:tr>
      <w:tr w:rsidR="00C81DC3" w:rsidTr="00655500">
        <w:trPr>
          <w:trHeight w:hRule="exact" w:val="1890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11</w:t>
            </w:r>
          </w:p>
        </w:tc>
        <w:tc>
          <w:tcPr>
            <w:tcW w:w="4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left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 xml:space="preserve">Если неотделимые улучшения арендованной недвижимости не возмещаются </w:t>
            </w:r>
            <w:r>
              <w:rPr>
                <w:rFonts w:ascii="Arial CYR" w:hAnsi="Arial CYR"/>
                <w:color w:val="000000" w:themeColor="dark1"/>
                <w:sz w:val="20"/>
              </w:rPr>
              <w:t>арендодателем и учитываются на балансе арендатора в качестве основных средств, то стоимость таковых включается в состав налоговой базы по налогу на имущество у арендатора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Статья 374 НК РФ, объект обложения, неотделимые улучшения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МФ РФ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01/04/22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DC3" w:rsidRDefault="00131818">
            <w:pPr>
              <w:jc w:val="center"/>
              <w:rPr>
                <w:rFonts w:ascii="Arial CYR" w:hAnsi="Arial CYR"/>
                <w:color w:val="000000" w:themeColor="dark1"/>
                <w:sz w:val="20"/>
              </w:rPr>
            </w:pPr>
            <w:r>
              <w:rPr>
                <w:rFonts w:ascii="Arial CYR" w:hAnsi="Arial CYR"/>
                <w:color w:val="000000" w:themeColor="dark1"/>
                <w:sz w:val="20"/>
              </w:rPr>
              <w:t>03-05</w:t>
            </w:r>
            <w:r>
              <w:rPr>
                <w:rFonts w:ascii="Arial CYR" w:hAnsi="Arial CYR"/>
                <w:color w:val="000000" w:themeColor="dark1"/>
                <w:sz w:val="20"/>
              </w:rPr>
              <w:t>-05-01/26950</w:t>
            </w:r>
          </w:p>
        </w:tc>
      </w:tr>
    </w:tbl>
    <w:p w:rsidR="00C81DC3" w:rsidRDefault="00C81DC3">
      <w:pPr>
        <w:rPr>
          <w:rFonts w:ascii="Courier New" w:hAnsi="Courier New"/>
          <w:sz w:val="22"/>
        </w:rPr>
      </w:pPr>
    </w:p>
    <w:sectPr w:rsidR="00C81DC3" w:rsidSect="00655500">
      <w:footerReference w:type="default" r:id="rId6"/>
      <w:pgSz w:w="11908" w:h="16848"/>
      <w:pgMar w:top="850" w:right="286" w:bottom="850" w:left="284" w:header="72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18" w:rsidRDefault="00131818" w:rsidP="00655500">
      <w:r>
        <w:separator/>
      </w:r>
    </w:p>
  </w:endnote>
  <w:endnote w:type="continuationSeparator" w:id="0">
    <w:p w:rsidR="00131818" w:rsidRDefault="00131818" w:rsidP="0065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8658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55500" w:rsidRPr="00655500" w:rsidRDefault="00655500" w:rsidP="00655500">
        <w:pPr>
          <w:pStyle w:val="aa"/>
          <w:jc w:val="center"/>
          <w:rPr>
            <w:sz w:val="20"/>
          </w:rPr>
        </w:pPr>
        <w:r w:rsidRPr="00655500">
          <w:rPr>
            <w:sz w:val="20"/>
          </w:rPr>
          <w:fldChar w:fldCharType="begin"/>
        </w:r>
        <w:r w:rsidRPr="00655500">
          <w:rPr>
            <w:sz w:val="20"/>
          </w:rPr>
          <w:instrText>PAGE   \* MERGEFORMAT</w:instrText>
        </w:r>
        <w:r w:rsidRPr="00655500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65550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18" w:rsidRDefault="00131818" w:rsidP="00655500">
      <w:r>
        <w:separator/>
      </w:r>
    </w:p>
  </w:footnote>
  <w:footnote w:type="continuationSeparator" w:id="0">
    <w:p w:rsidR="00131818" w:rsidRDefault="00131818" w:rsidP="00655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3"/>
    <w:rsid w:val="00131818"/>
    <w:rsid w:val="00655500"/>
    <w:rsid w:val="00C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6CAC6-D958-4F38-979D-D00AE324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6555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500"/>
    <w:rPr>
      <w:sz w:val="28"/>
    </w:rPr>
  </w:style>
  <w:style w:type="paragraph" w:styleId="aa">
    <w:name w:val="footer"/>
    <w:basedOn w:val="a"/>
    <w:link w:val="ab"/>
    <w:uiPriority w:val="99"/>
    <w:unhideWhenUsed/>
    <w:rsid w:val="006555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5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2023-02-08T08:21:00Z</dcterms:created>
  <dcterms:modified xsi:type="dcterms:W3CDTF">2023-02-08T08:21:00Z</dcterms:modified>
</cp:coreProperties>
</file>