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B2B" w:rsidRPr="00E97B2B" w:rsidRDefault="00E97B2B" w:rsidP="00E97B2B">
      <w:pPr>
        <w:jc w:val="center"/>
        <w:rPr>
          <w:rFonts w:ascii="Times New Roman" w:hAnsi="Times New Roman"/>
          <w:b/>
          <w:szCs w:val="24"/>
        </w:rPr>
      </w:pPr>
      <w:r w:rsidRPr="00E97B2B">
        <w:rPr>
          <w:rFonts w:ascii="Times New Roman" w:hAnsi="Times New Roman"/>
          <w:b/>
          <w:szCs w:val="24"/>
        </w:rPr>
        <w:t>НОВЫЕ ДОКУМЕНТЫ К РАС</w:t>
      </w:r>
      <w:r w:rsidR="000E4E99">
        <w:rPr>
          <w:rFonts w:ascii="Times New Roman" w:hAnsi="Times New Roman"/>
          <w:b/>
          <w:szCs w:val="24"/>
        </w:rPr>
        <w:t>СМОТРЕНИЮ НА СЕМИНАРАХ – 2025 (3</w:t>
      </w:r>
      <w:r w:rsidRPr="00E97B2B">
        <w:rPr>
          <w:rFonts w:ascii="Times New Roman" w:hAnsi="Times New Roman"/>
          <w:b/>
          <w:szCs w:val="24"/>
        </w:rPr>
        <w:t>)</w:t>
      </w:r>
    </w:p>
    <w:p w:rsidR="00E97B2B" w:rsidRPr="00E97B2B" w:rsidRDefault="00E97B2B" w:rsidP="00E97B2B">
      <w:pPr>
        <w:jc w:val="center"/>
        <w:rPr>
          <w:rFonts w:ascii="Times New Roman" w:hAnsi="Times New Roman"/>
          <w:b/>
          <w:sz w:val="22"/>
        </w:rPr>
      </w:pPr>
    </w:p>
    <w:p w:rsidR="00E97B2B" w:rsidRPr="00E97B2B" w:rsidRDefault="00E97B2B" w:rsidP="00E97B2B">
      <w:pPr>
        <w:jc w:val="center"/>
        <w:rPr>
          <w:rFonts w:ascii="Times New Roman" w:hAnsi="Times New Roman"/>
          <w:b/>
          <w:sz w:val="22"/>
          <w:szCs w:val="22"/>
        </w:rPr>
      </w:pPr>
      <w:r w:rsidRPr="00E97B2B">
        <w:rPr>
          <w:rFonts w:ascii="Times New Roman" w:hAnsi="Times New Roman"/>
          <w:b/>
          <w:sz w:val="22"/>
          <w:szCs w:val="22"/>
        </w:rPr>
        <w:t>О</w:t>
      </w:r>
      <w:r>
        <w:rPr>
          <w:rFonts w:ascii="Times New Roman" w:hAnsi="Times New Roman"/>
          <w:b/>
          <w:sz w:val="22"/>
          <w:szCs w:val="22"/>
        </w:rPr>
        <w:t>бщие вопросы</w:t>
      </w:r>
    </w:p>
    <w:p w:rsidR="00756A64" w:rsidRDefault="00756A64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9"/>
        <w:gridCol w:w="3501"/>
        <w:gridCol w:w="2512"/>
        <w:gridCol w:w="1599"/>
        <w:gridCol w:w="925"/>
        <w:gridCol w:w="800"/>
        <w:gridCol w:w="939"/>
      </w:tblGrid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После выкупа предмета лизинга невозможно пересмотреть права и обязанности сторон в отношении такого договора без проверки обоснованности возникновения права собственности на предмет лизинга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450 ГК РФ, расторжение договора, признание договора недействительным, реституция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11/03/25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16-КГ24-39-К4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установлении арбитражным судом отсутствия состава административного правонарушения суд общей юрисдикции не может привлечь к ответственности должностное лицо организации, если только не установит специальные основания для такового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2.1 КоАП РФ, административная ответственность организации, административная ответственность должностного лица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15/05/25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4-АД25-15-К1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Руководитель организации не вправе самостоятельно устанавливать себе поощрительные выплаты, если они не предусмотрены соглашением с учредителями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135 ТК РФ, премия, руководитель организации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11/04/25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305-ЭС24-22998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Вносить в ЕГРЮЛ сведения о продлении полномочий руководителя организации не требуется, поскольку указанные сведения уже имеются в ЕГРЮЛ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ЕГРЮЛ, полномочия руководителя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11/03/25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03-12-13/23540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5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Потребитель не может доказывать виновность должностных лиц организации в порядке субсидиарной ответственности, поскольку подобное распределение бремени доказывания нарушает принцип равенства сторон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Субсидиарная ответственность, права потребителей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305-ЭС24-24568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6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Запущен сервис подтверждения статуса налогового резидента Российской Федерации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11 НК РФ, налоговый резидент, налоговый нерезидент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Приказ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ФНС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21/02/25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ЕД-7-13/122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7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Установлены правила определения вида деятельности страхователя для целей исчисления страховых взносов на травматизм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ЕГРЮЛ, ОКВЭД, виды деятельности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Правительство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27/05/25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728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8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Выплата за наставничество является стимулирующей выплатой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351.8 ТК РФ, плата за наставничество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proofErr w:type="spellStart"/>
            <w:r w:rsidRPr="000E4E99">
              <w:rPr>
                <w:rFonts w:ascii="Tahoma" w:hAnsi="Tahoma"/>
                <w:sz w:val="22"/>
                <w:szCs w:val="22"/>
              </w:rPr>
              <w:t>Роструд</w:t>
            </w:r>
            <w:proofErr w:type="spellEnd"/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06/05/25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ПГ/08383-6-1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9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Обновлён перечень работ и категорий работников, с которыми могут заключаться </w:t>
            </w: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договоры о полной материальной ответственности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Статья 244 ТК РФ, полная материальная ответственность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Приказ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Минтруд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16/04/25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251Н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lastRenderedPageBreak/>
              <w:t>10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Размер премии, выплачиваемой работнику, равно как и отказ от выплаты таковой должны быть экономически обоснованы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135 ТК РФ, стимулирующая выплата, премия, обоснованность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КС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27/03/25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658-О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11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Запрет на внесение сведений в ЕГРЮЛ о физическом лице в качестве органа управления организацией распространяется и на случай с передачей функции управления сторонней организации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Закон №129-ФЗ, ЕГРЮЛ, исключение из ЕГРЮЛ, управляющая организация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15/05/25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301-ЭС25-2984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12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244629" w:rsidRDefault="000E4E99" w:rsidP="000E4E99">
            <w:pPr>
              <w:rPr>
                <w:rFonts w:ascii="Tahoma" w:hAnsi="Tahoma"/>
                <w:spacing w:val="-2"/>
                <w:sz w:val="22"/>
                <w:szCs w:val="22"/>
              </w:rPr>
            </w:pPr>
            <w:r w:rsidRPr="00244629">
              <w:rPr>
                <w:rFonts w:ascii="Tahoma" w:hAnsi="Tahoma"/>
                <w:spacing w:val="-2"/>
                <w:sz w:val="22"/>
                <w:szCs w:val="22"/>
              </w:rPr>
              <w:t>Включение налоговым органом в требование об уплате налогов недоимок, в отношении которых утрачено право на их взыскание, неправомерно, поскольку незаконно возобновляется указанная процедура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46 НК РФ, пропуск сроков на взыскание недоимки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Определение 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19/05/25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306-ЭС25-2345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13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НК РФ не содержит запрета на проведение выездной налоговой проверки в отношении отчётных периодов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89 НК РФ, выездная налоговая проверка, отчётный период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21/01/25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03-02-08/4632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14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признании задолженности по налогам нереальной ко взысканию начисление пеней в отношении таковой неправомерно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11.3 НК РФ, статья 75 НК РФ, задолженность ко взысканию, пени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09/04/25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20-КАД25-1-К5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15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Нарушение налоговым органом сроков проведения выездной налоговой проверки само по себе не приводит к недействительности результатов таковой, но влияет на течение сроков на взыскание недоимки и пеней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89 НК РФ, статья 46 НК РФ, статья 101 НК РФ, срок взыскания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КС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13/05/25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20-П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16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 случае несоответствия данных бухгалтерского учёта реальности действительная стоимость доли может быть определена посредством иных оценок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Закон об ООО, выход участника, выплата действительной стоимости доли, бухгалтерская отчётность, рыночная стоимость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25/03/25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305-ЭС24-23344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17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Расходы на досудебное урегулирование споров с СФР подлежат возмещению в разумных пределах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Судебные расходы, досудебное урегулирование, СФР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КС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31/03/25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15-П</w:t>
            </w:r>
          </w:p>
        </w:tc>
      </w:tr>
      <w:tr w:rsidR="000E4E99" w:rsidRPr="000E4E99" w:rsidTr="000E4E9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5E79A9" w:rsidP="000E4E99">
            <w:pPr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18</w:t>
            </w:r>
          </w:p>
        </w:tc>
        <w:tc>
          <w:tcPr>
            <w:tcW w:w="3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5E79A9" w:rsidRDefault="000E4E99" w:rsidP="000E4E99">
            <w:pPr>
              <w:rPr>
                <w:rFonts w:ascii="Tahoma" w:hAnsi="Tahoma"/>
                <w:spacing w:val="-6"/>
                <w:sz w:val="22"/>
                <w:szCs w:val="22"/>
              </w:rPr>
            </w:pPr>
            <w:r w:rsidRPr="005E79A9">
              <w:rPr>
                <w:rFonts w:ascii="Tahoma" w:hAnsi="Tahoma"/>
                <w:spacing w:val="-6"/>
                <w:sz w:val="22"/>
                <w:szCs w:val="22"/>
              </w:rPr>
              <w:t xml:space="preserve">Оператор персональных данных обязан направить в </w:t>
            </w:r>
            <w:proofErr w:type="spellStart"/>
            <w:r w:rsidRPr="005E79A9">
              <w:rPr>
                <w:rFonts w:ascii="Tahoma" w:hAnsi="Tahoma"/>
                <w:spacing w:val="-6"/>
                <w:sz w:val="22"/>
                <w:szCs w:val="22"/>
              </w:rPr>
              <w:t>Роскомнадзор</w:t>
            </w:r>
            <w:proofErr w:type="spellEnd"/>
            <w:r w:rsidRPr="005E79A9">
              <w:rPr>
                <w:rFonts w:ascii="Tahoma" w:hAnsi="Tahoma"/>
                <w:spacing w:val="-6"/>
                <w:sz w:val="22"/>
                <w:szCs w:val="22"/>
              </w:rPr>
              <w:t xml:space="preserve"> специальное уведомление о начале обработки персональных данных, за исключением случая </w:t>
            </w:r>
            <w:r w:rsidR="00244629" w:rsidRPr="00244629">
              <w:rPr>
                <w:rFonts w:ascii="Tahoma" w:hAnsi="Tahoma"/>
                <w:sz w:val="22"/>
                <w:szCs w:val="22"/>
              </w:rPr>
              <w:t>их</w:t>
            </w:r>
            <w:r w:rsidRPr="00244629">
              <w:rPr>
                <w:rFonts w:ascii="Tahoma" w:hAnsi="Tahoma"/>
                <w:sz w:val="22"/>
                <w:szCs w:val="22"/>
              </w:rPr>
              <w:t xml:space="preserve"> неавтоматизированной обработки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Персональные данные, автоматизированная обработка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ФАС МО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27/03/25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А40-12676/2024</w:t>
            </w:r>
          </w:p>
        </w:tc>
      </w:tr>
    </w:tbl>
    <w:p w:rsidR="000E4E99" w:rsidRPr="00E97B2B" w:rsidRDefault="000E4E99" w:rsidP="000E4E99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Налог на добавленную стоимость</w:t>
      </w:r>
    </w:p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tbl>
      <w:tblPr>
        <w:tblW w:w="10912" w:type="dxa"/>
        <w:tblLayout w:type="fixed"/>
        <w:tblLook w:val="04A0" w:firstRow="1" w:lastRow="0" w:firstColumn="1" w:lastColumn="0" w:noHBand="0" w:noVBand="1"/>
      </w:tblPr>
      <w:tblGrid>
        <w:gridCol w:w="559"/>
        <w:gridCol w:w="3544"/>
        <w:gridCol w:w="2525"/>
        <w:gridCol w:w="1586"/>
        <w:gridCol w:w="961"/>
        <w:gridCol w:w="800"/>
        <w:gridCol w:w="937"/>
      </w:tblGrid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уступке права требования по договору поставки с уплаченным авансом цедент исчисляет налоговую базу по НДС исходя из всех сумм расчётов по данному договору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155 НК РФ, имущественные права, цессия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10/04/25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03-07-11/35736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изменении цены товаров ненадлежащего качества на основании статьи 475 ГК РФ у сторон договора соответственно корректируется вычет по НДС и налоговая база по НДС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153 НК РФ, статья 171 НК РФ, статья 475 ГК РФ, изменение цены товара, ненадлежащее качество товара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05/06/25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305-ЭС25-115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Продажа подарочных карт их эмитентом не образует налоговой базы по НДС, поскольку таковые представляют собой имущественное право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146 НК РФ, статья 156 НК РФ, подарочный сертификат, имущественное право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МФ РФ 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05/05/25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03-07-11/44643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продаже здания покупателю в собственность переходит и земельный участок, необходимый для использования здания, что должно учитываться при формирования выручки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39 НК РФ, статья 552 ГК РФ, продажа здания, права на земельный участок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02/06/25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309-ЭС25-3700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pacing w:val="-2"/>
                <w:sz w:val="22"/>
                <w:szCs w:val="22"/>
              </w:rPr>
            </w:pPr>
            <w:r w:rsidRPr="000E4E99">
              <w:rPr>
                <w:rFonts w:ascii="Tahoma" w:hAnsi="Tahoma"/>
                <w:spacing w:val="-2"/>
                <w:sz w:val="22"/>
                <w:szCs w:val="22"/>
              </w:rPr>
              <w:t xml:space="preserve">Если плательщик УСН в 2024 году получил аванс без НДС, а отгрузка происходит в 2025 году уже с НДС, то показатель доходов для целей УСН на сумму НДС </w:t>
            </w:r>
            <w:proofErr w:type="gramStart"/>
            <w:r w:rsidRPr="000E4E99">
              <w:rPr>
                <w:rFonts w:ascii="Tahoma" w:hAnsi="Tahoma"/>
                <w:spacing w:val="-2"/>
                <w:sz w:val="22"/>
                <w:szCs w:val="22"/>
              </w:rPr>
              <w:t>не уменьшается</w:t>
            </w:r>
            <w:proofErr w:type="gramEnd"/>
            <w:r w:rsidRPr="000E4E99">
              <w:rPr>
                <w:rFonts w:ascii="Tahoma" w:hAnsi="Tahoma"/>
                <w:spacing w:val="-2"/>
                <w:sz w:val="22"/>
                <w:szCs w:val="22"/>
              </w:rPr>
              <w:t xml:space="preserve"> и указанная сумма не учитывается в расходах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145 НК РФ, статья 164 НК РФ, УСН, аванс, отгрузка, переходные положения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10/04/25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03-07-11/35779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Вопрос начисления НДС на сумму коммунальных платежей в рамках договора аренды зависит от признания или непризнания таковых частью арендной платы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153 НК РФ, статья 154 НК РФ, возмещаемые расходы, коммунальные платежи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17/12/24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03-07-11/127323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Осуществление физическим лицом предпринимательской деятельности может быть основанием для начисления соответствующих налогов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145 НК РФ, статья 143 НК РФ, статья 11 НК РФ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21/03/25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301-ЭС25-1266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Вклад в имущество не облагается НДС, поскольку таковая операция носит инвестиционный характер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146 НК РФ, статья 39 НК РФ, вклад в имущество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ФАС ПО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10/03/25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А65-19667/2024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При применении статьи 174.1 НК РФ лицо, исполняющее обязанность по уплате НДС, не вправе применять в отношении общей реализации ставки НДС, </w:t>
            </w: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выбранные для своей реализации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Статья 174.1 НК РФ, статья 164 НК РФ, ставка НДС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21/02/25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03-07-11/16695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применении статьи 174.1 НК РФ лицо, исполняющее обязанность по уплате НДС, не вправе применять в отношении общей реализации ставки НДС, выбранные для своей реализации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174.1 НК РФ, статья 164 НК РФ, ставка НДС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25/02/25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03-07-11/18312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Отсутствие счёт-фактуры при доказанности реальности операций не может быть безусловным основанием для отказа в возмещении НДС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169 НК РФ, счёт-фактура, возмещение НДС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ФАС УО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14/01/25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Ф09-6901/24</w:t>
            </w:r>
          </w:p>
        </w:tc>
      </w:tr>
      <w:tr w:rsidR="000E4E99" w:rsidRPr="000E4E99" w:rsidTr="00244629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Отсутствие счёт-фактуры при доказанности реальности операций не может быть безусловным основанием для отказа в возмещении НДС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169 НК РФ, счёт-фактура, возмещение НДС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ФАС ДО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06/03/25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Ф03-466/2024</w:t>
            </w:r>
          </w:p>
        </w:tc>
      </w:tr>
    </w:tbl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p w:rsidR="00244629" w:rsidRPr="00E97B2B" w:rsidRDefault="00244629" w:rsidP="00244629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Налог на прибыль организаций</w:t>
      </w:r>
    </w:p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89"/>
        <w:gridCol w:w="3514"/>
        <w:gridCol w:w="2512"/>
        <w:gridCol w:w="1741"/>
        <w:gridCol w:w="925"/>
        <w:gridCol w:w="813"/>
        <w:gridCol w:w="937"/>
      </w:tblGrid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продаже здания покупателю в собственность переходит и земельный участок, необходимый для использования здания, что должно учитываться при формировании выручки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39 НК РФ, статья 552 ГК РФ, продажа здания, права на земельный участок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02/06/25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309-ЭС25-3700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Отражать ошибки прошлых лет в налоговом периоде с большей ставкой по налогу на прибыль неправомерно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54 НК РФ, статья 81 НК РФ, исправление ошибок прошлых лет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15/05/25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03-03-06/1/47786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одновременном создании нескольких амортизируемых объектов расходы на создание таковых распределяются исходя из их связи с конкретным объектом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257 НК РФ, статья 259 НК РФ, первоначальная стоимость, несколько объектов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07/03/25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03-03-05/22808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Расходы на содержание служебной квартиры могут быть учтены при исчислении налога на прибыль, но в особом порядке, установленном статьёй 275.1 НК РФ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275.1 НК РФ, служебная квартира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13/03/25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03-03-06/1/24826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5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 создании объекта основных средств все затраты, связанные с его доведением до работоспособного состояния включаются в его первоначальную стоимость, даже если таковые поименованы в статье 264 НК РФ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257 НК РФ, статья 264 НК РФ, первоначальная стоимость, косвенные расходы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07/03/25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03-03-05/22808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6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Первичные бухгалтерские документы в электронном виде являются основанием для признания расходов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252 НК РФ, документальное подтверждение, электронный документ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МФ РФ 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03-03-06/1/20314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7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Повышающий коэффициент начисления амортизации </w:t>
            </w:r>
            <w:proofErr w:type="gramStart"/>
            <w:r w:rsidRPr="000E4E99">
              <w:rPr>
                <w:rFonts w:ascii="Tahoma" w:hAnsi="Tahoma"/>
                <w:sz w:val="22"/>
                <w:szCs w:val="22"/>
              </w:rPr>
              <w:t>К</w:t>
            </w:r>
            <w:proofErr w:type="gramEnd"/>
            <w:r w:rsidRPr="000E4E99">
              <w:rPr>
                <w:rFonts w:ascii="Tahoma" w:hAnsi="Tahoma"/>
                <w:sz w:val="22"/>
                <w:szCs w:val="22"/>
              </w:rPr>
              <w:t>=2 применяется к первоначальной стоимости соответствующих активов, но не применим к расходам по доработке таковых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257 НК РФ, статья 259.3 НК РФ, повышенный коэффициент амортизации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03/03/25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03-03-06/1/20323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8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Сумма целевой субсидии на возмещение стоимости имущества, утраченного на территории недружественных стран, не признаётся доходом ввиду отсутствия экономической выгоды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251 НК РФ, статья 41 НК РФ, субсидия, возмещение убытков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18/04/25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310-ЭС24-23706</w:t>
            </w:r>
          </w:p>
        </w:tc>
      </w:tr>
      <w:tr w:rsidR="000E4E99" w:rsidRPr="000E4E99" w:rsidTr="00244629"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9</w:t>
            </w:r>
          </w:p>
        </w:tc>
        <w:tc>
          <w:tcPr>
            <w:tcW w:w="3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Если для использования сетевого оборудования необходимо соответствующее программное обеспечение, то стоимость такового включается в стоимость сетевого оборудования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257 НК РФ, основное средство, нематериальный актив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03/02/25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03-03-06/1/8878</w:t>
            </w:r>
          </w:p>
        </w:tc>
      </w:tr>
    </w:tbl>
    <w:p w:rsidR="00244629" w:rsidRPr="000E4E99" w:rsidRDefault="00244629" w:rsidP="00244629">
      <w:pPr>
        <w:rPr>
          <w:rFonts w:ascii="Tahoma" w:hAnsi="Tahoma"/>
          <w:sz w:val="22"/>
          <w:szCs w:val="22"/>
        </w:rPr>
      </w:pPr>
    </w:p>
    <w:p w:rsidR="00244629" w:rsidRPr="00E97B2B" w:rsidRDefault="00244629" w:rsidP="00244629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Страховые взносы</w:t>
      </w:r>
    </w:p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526"/>
        <w:gridCol w:w="2512"/>
        <w:gridCol w:w="1741"/>
        <w:gridCol w:w="925"/>
        <w:gridCol w:w="813"/>
        <w:gridCol w:w="875"/>
      </w:tblGrid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Организация не доказала, что её деятельность относится к деятельности информационно-технологического характера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427 НК РФ, пониженные тарифы, ИТ-компания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06/06/25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303-ЭС25-4041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Пониженные тарифы для обрабатывающих производств могут применяться при соответствии ОКВЭД, но их неизменность не обязательна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427 НК РФ, пониженные тарифы, обрабатывающие производства, ОКВЭД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ФНС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29/05/25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БС-4-11/5256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Установлены правила определения вида деятельности страхователя для целей исчисления страховых взносов на травматизм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ЕГРЮЛ, ОКВЭД, виды деятельности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Правительство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27/05/25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728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Оплата работодателем занятий в спортклубе для работников облагается страховыми взносами, а для членов их семей - нет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420 НК РФ, статья 422 НК РФ, оплата спортклуба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25/04/25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03-15-05/42369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5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Применение пониженных тарифов для обрабатывающих производств правомерно, если по одному (а не сумме нескольких) виду деятельность сумма доходов превышает 70%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427 НК РФ, пониженные тарифы, обрабатывающие производства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17/01/25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03-15-06/3124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6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Разъяснены вопросы обложения страховыми взносами суточных при направлении работников в командировки на территорию новых субъектов Российской Федерации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420 НК РФ, статья 422 НК РФ, суточные, новые субъекты Российской Федерации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МФ РФ 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16/12/24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03-04-06/126873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7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Если у организации, занимающейся обрабатывающей деятельностью, ОКВЭД более детальный, но дающий право на применение пониженного тарифа, таковой может быть применён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427 НК РФ, пониженный тариф, обрабатывающее производство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23/12/24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03-15-05/130289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8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Если у организации, занимающейся обрабатывающей деятельностью, ОКВЭД более детальный, но дающий право на применение пониженного тарифа, таковой может быть применён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427 НК РФ, пониженный тариф, обрабатывающее производство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25/12/24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03-15-05/130953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9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 РСВ с отчётности за 2025 год подлежат отдельному отражению выплаты по гражданско-правовым договорам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420 НК РФ, РСВ, выплаты по гражданско-правовым договорам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ФНС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12/02/25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БС-4-11/1275</w:t>
            </w:r>
          </w:p>
        </w:tc>
      </w:tr>
      <w:tr w:rsidR="000E4E99" w:rsidRPr="000E4E99" w:rsidTr="00244629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10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Пользование залом повышенной комфортности в командировке приводит к начислению страховых взносов, поскольку таковые не указаны в качестве необлагаемых выплат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422 НК РФ, зал повышенной комфортности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26/02/25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03-04-05/18534</w:t>
            </w:r>
          </w:p>
        </w:tc>
      </w:tr>
    </w:tbl>
    <w:p w:rsidR="00244629" w:rsidRPr="000E4E99" w:rsidRDefault="00244629" w:rsidP="00244629">
      <w:pPr>
        <w:rPr>
          <w:rFonts w:ascii="Tahoma" w:hAnsi="Tahoma"/>
          <w:sz w:val="22"/>
          <w:szCs w:val="22"/>
        </w:rPr>
      </w:pPr>
    </w:p>
    <w:p w:rsidR="00244629" w:rsidRPr="00E97B2B" w:rsidRDefault="00244629" w:rsidP="00244629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Налог на доходы физических лиц</w:t>
      </w:r>
    </w:p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4"/>
        <w:gridCol w:w="3539"/>
        <w:gridCol w:w="2512"/>
        <w:gridCol w:w="1741"/>
        <w:gridCol w:w="925"/>
        <w:gridCol w:w="813"/>
        <w:gridCol w:w="875"/>
      </w:tblGrid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Разъяснены вопросы уплаты НДФЛ с дивидендов, которые начислены непропорционально долям в уставном капитале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41 НК РФ, статья 210 НК РФ, статья 214 НК РФ, дивиденды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17/04/25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03-04-05/38579</w:t>
            </w:r>
          </w:p>
        </w:tc>
      </w:tr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МФ РФ 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14/01/25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03-04-06/1416</w:t>
            </w:r>
          </w:p>
        </w:tc>
      </w:tr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Выплаты белорусским гражданам по гражданско-правовым договорам с исполнением посредством Интернета облагаются в Российской Федерации по ставке 13% (22%)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208 НК РФ, статья 224 НК РФ, налоговый нерезидент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05/02/25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03-04-05/9888</w:t>
            </w:r>
          </w:p>
        </w:tc>
      </w:tr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Разъяснены вопросы обложения НДФЛ суточных при направлении работников в </w:t>
            </w: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командировки на территорию новых субъектов Российской Федерации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 xml:space="preserve">Статья 208 НК РФ, статья 217 НК РФ, суточные, новые </w:t>
            </w: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субъекты Российской Федерации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МФ РФ 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16/12/24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03-04-06/126873</w:t>
            </w:r>
          </w:p>
        </w:tc>
      </w:tr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Вычет на ГТО предоставляется при предоставлении документов о сдаче норм ГТО и справки о прохождении диспансеризации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218 НК РФ, вычет на ГТО, подтверждающие документы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12/02/25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03-04-06/12653</w:t>
            </w:r>
          </w:p>
        </w:tc>
      </w:tr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6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Получение денежных средств физическим лицом в счёт погашения фиктивного договора займа признаётся доходом физического лица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210 НК РФ, статья 54.1 НК РФ, фиктивный договор займа, вексель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19/03/25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308-ЭС25-2254</w:t>
            </w:r>
          </w:p>
        </w:tc>
      </w:tr>
      <w:tr w:rsidR="000E4E99" w:rsidRPr="000E4E99" w:rsidTr="00C465E4"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7</w:t>
            </w:r>
          </w:p>
        </w:tc>
        <w:tc>
          <w:tcPr>
            <w:tcW w:w="3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Пользование залом повышенной комфортности в командировке приводит к начислению НДФЛ, поскольку таковые не указаны в качестве необлагаемых доходов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217 НК РФ, зал повышенной комфортности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МФ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26/02/25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03-04-05/18534</w:t>
            </w:r>
          </w:p>
        </w:tc>
      </w:tr>
    </w:tbl>
    <w:p w:rsidR="00C465E4" w:rsidRPr="000E4E99" w:rsidRDefault="00C465E4" w:rsidP="00C465E4">
      <w:pPr>
        <w:rPr>
          <w:rFonts w:ascii="Tahoma" w:hAnsi="Tahoma"/>
          <w:sz w:val="22"/>
          <w:szCs w:val="22"/>
        </w:rPr>
      </w:pPr>
    </w:p>
    <w:p w:rsidR="00C465E4" w:rsidRPr="00E97B2B" w:rsidRDefault="00C465E4" w:rsidP="00C465E4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Транспортный налог</w:t>
      </w:r>
    </w:p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2"/>
        <w:gridCol w:w="3551"/>
        <w:gridCol w:w="2512"/>
        <w:gridCol w:w="1741"/>
        <w:gridCol w:w="925"/>
        <w:gridCol w:w="813"/>
        <w:gridCol w:w="900"/>
      </w:tblGrid>
      <w:tr w:rsidR="000E4E99" w:rsidRPr="000E4E99" w:rsidTr="00C465E4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Обновлён перечень автотранспортных средств на 2024 год, в отношении которых подлежит применению повышающий коэффициент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358 НК РФ, статья 359 НК РФ, статья 362 НК РФ, повышающий коэффициент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Информация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proofErr w:type="spellStart"/>
            <w:r w:rsidRPr="000E4E99">
              <w:rPr>
                <w:rFonts w:ascii="Tahoma" w:hAnsi="Tahoma"/>
                <w:sz w:val="22"/>
                <w:szCs w:val="22"/>
              </w:rPr>
              <w:t>Минпромторг</w:t>
            </w:r>
            <w:proofErr w:type="spellEnd"/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31/03/25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</w:p>
        </w:tc>
      </w:tr>
    </w:tbl>
    <w:p w:rsidR="00C465E4" w:rsidRPr="000E4E99" w:rsidRDefault="00C465E4" w:rsidP="00C465E4">
      <w:pPr>
        <w:rPr>
          <w:rFonts w:ascii="Tahoma" w:hAnsi="Tahoma"/>
          <w:sz w:val="22"/>
          <w:szCs w:val="22"/>
        </w:rPr>
      </w:pPr>
    </w:p>
    <w:p w:rsidR="00C465E4" w:rsidRPr="00E97B2B" w:rsidRDefault="00C465E4" w:rsidP="00C465E4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Имущественные налоги</w:t>
      </w:r>
    </w:p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9"/>
        <w:gridCol w:w="3564"/>
        <w:gridCol w:w="2512"/>
        <w:gridCol w:w="1741"/>
        <w:gridCol w:w="925"/>
        <w:gridCol w:w="813"/>
        <w:gridCol w:w="913"/>
      </w:tblGrid>
      <w:tr w:rsidR="000E4E99" w:rsidRPr="000E4E99" w:rsidTr="00C465E4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Здание подлежит отражению в составе основных средств с момента оформления разрешения на ввод в эксплуатацию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374 НК РФ, основное средство, разрешение на ввод в эксплуатацию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Постановление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ФАС СЗО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29/01/25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А56-65475/2023</w:t>
            </w:r>
          </w:p>
        </w:tc>
      </w:tr>
      <w:tr w:rsidR="000E4E99" w:rsidRPr="000E4E99" w:rsidTr="00C465E4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Применение повышающих коэффициентов при расчёте земельного налога по землям ИЖС для хозяйствующих субъектов необоснованно, поскольку фактически становится санкцией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396 НК РФ, налоговая ставка, земли ИЖС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Апелляционное определение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ВС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04/03/25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АПЛ25-28</w:t>
            </w:r>
          </w:p>
        </w:tc>
      </w:tr>
      <w:tr w:rsidR="000E4E99" w:rsidRPr="000E4E99" w:rsidTr="00C465E4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3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 xml:space="preserve">Трансформаторно-распределительная подстанция, смонтированная в объекте недвижимости и питающая последний, может признаваться объектом недвижимости при соответствии такового требования </w:t>
            </w:r>
            <w:proofErr w:type="spellStart"/>
            <w:r w:rsidRPr="000E4E99">
              <w:rPr>
                <w:rFonts w:ascii="Tahoma" w:hAnsi="Tahoma"/>
                <w:sz w:val="22"/>
                <w:szCs w:val="22"/>
              </w:rPr>
              <w:t>ГрК</w:t>
            </w:r>
            <w:proofErr w:type="spellEnd"/>
            <w:r w:rsidRPr="000E4E99">
              <w:rPr>
                <w:rFonts w:ascii="Tahoma" w:hAnsi="Tahoma"/>
                <w:sz w:val="22"/>
                <w:szCs w:val="22"/>
              </w:rPr>
              <w:t xml:space="preserve"> РФ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374 НК РФ, недвижимость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ФНС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23/01/25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БС-4-21/558</w:t>
            </w:r>
          </w:p>
        </w:tc>
      </w:tr>
      <w:tr w:rsidR="000E4E99" w:rsidRPr="000E4E99" w:rsidTr="00C465E4"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4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ФНС России распространила обзор судебной практики по исчислению налога на имущество организаций</w:t>
            </w:r>
          </w:p>
        </w:tc>
        <w:tc>
          <w:tcPr>
            <w:tcW w:w="2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Статья 374 НК РФ, объект обложения налогом на имущество, основное средство</w:t>
            </w:r>
          </w:p>
        </w:tc>
        <w:tc>
          <w:tcPr>
            <w:tcW w:w="1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Письмо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ФНС РФ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13/02/25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4E99" w:rsidRPr="000E4E99" w:rsidRDefault="000E4E99" w:rsidP="000E4E99">
            <w:pPr>
              <w:rPr>
                <w:rFonts w:ascii="Tahoma" w:hAnsi="Tahoma"/>
                <w:sz w:val="22"/>
                <w:szCs w:val="22"/>
              </w:rPr>
            </w:pPr>
            <w:r w:rsidRPr="000E4E99">
              <w:rPr>
                <w:rFonts w:ascii="Tahoma" w:hAnsi="Tahoma"/>
                <w:sz w:val="22"/>
                <w:szCs w:val="22"/>
              </w:rPr>
              <w:t>БС-4-21/1433</w:t>
            </w:r>
          </w:p>
        </w:tc>
      </w:tr>
    </w:tbl>
    <w:p w:rsidR="000E4E99" w:rsidRPr="000E4E99" w:rsidRDefault="000E4E99" w:rsidP="000E4E99">
      <w:pPr>
        <w:rPr>
          <w:rFonts w:ascii="Tahoma" w:hAnsi="Tahoma"/>
          <w:sz w:val="22"/>
          <w:szCs w:val="22"/>
        </w:rPr>
      </w:pPr>
    </w:p>
    <w:p w:rsidR="00756A64" w:rsidRDefault="00756A64">
      <w:pPr>
        <w:rPr>
          <w:rFonts w:ascii="Tahoma" w:hAnsi="Tahoma"/>
          <w:sz w:val="22"/>
          <w:szCs w:val="22"/>
        </w:rPr>
      </w:pPr>
    </w:p>
    <w:p w:rsidR="00E97B2B" w:rsidRDefault="00E97B2B">
      <w:pPr>
        <w:rPr>
          <w:rFonts w:ascii="Tahoma" w:hAnsi="Tahoma"/>
          <w:sz w:val="22"/>
          <w:szCs w:val="22"/>
        </w:rPr>
      </w:pPr>
      <w:bookmarkStart w:id="0" w:name="_GoBack"/>
      <w:bookmarkEnd w:id="0"/>
    </w:p>
    <w:p w:rsidR="00E97B2B" w:rsidRPr="00E97B2B" w:rsidRDefault="00E97B2B" w:rsidP="00E97B2B">
      <w:pPr>
        <w:jc w:val="center"/>
        <w:rPr>
          <w:b/>
          <w:sz w:val="22"/>
        </w:rPr>
      </w:pPr>
      <w:proofErr w:type="spellStart"/>
      <w:r>
        <w:rPr>
          <w:b/>
          <w:sz w:val="22"/>
        </w:rPr>
        <w:t>Т</w:t>
      </w:r>
      <w:r w:rsidRPr="007579B0">
        <w:rPr>
          <w:b/>
          <w:sz w:val="22"/>
        </w:rPr>
        <w:t>елеграм</w:t>
      </w:r>
      <w:proofErr w:type="spellEnd"/>
      <w:r w:rsidRPr="007579B0">
        <w:rPr>
          <w:b/>
          <w:sz w:val="22"/>
        </w:rPr>
        <w:t>-каналы «Центра финансовых экспертиз»</w:t>
      </w:r>
    </w:p>
    <w:p w:rsidR="00E97B2B" w:rsidRPr="007579B0" w:rsidRDefault="00E97B2B" w:rsidP="00E97B2B">
      <w:pPr>
        <w:jc w:val="center"/>
        <w:rPr>
          <w:noProof/>
          <w:sz w:val="20"/>
        </w:rPr>
      </w:pPr>
      <w:r w:rsidRPr="007579B0">
        <w:rPr>
          <w:noProof/>
          <w:sz w:val="20"/>
        </w:rPr>
        <w:drawing>
          <wp:inline distT="0" distB="0" distL="0" distR="0" wp14:anchorId="61B1F735" wp14:editId="036593A9">
            <wp:extent cx="2089150" cy="2507334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002" cy="2513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B2B" w:rsidRPr="007579B0" w:rsidRDefault="00E97B2B" w:rsidP="00E97B2B">
      <w:pPr>
        <w:jc w:val="center"/>
        <w:rPr>
          <w:b/>
          <w:noProof/>
          <w:sz w:val="20"/>
        </w:rPr>
      </w:pPr>
    </w:p>
    <w:p w:rsidR="00E97B2B" w:rsidRPr="007579B0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«Бухгалтер и Бизнес»</w:t>
      </w:r>
    </w:p>
    <w:p w:rsidR="00E97B2B" w:rsidRPr="007579B0" w:rsidRDefault="00E97B2B" w:rsidP="00E97B2B">
      <w:pPr>
        <w:rPr>
          <w:noProof/>
          <w:sz w:val="20"/>
        </w:rPr>
      </w:pPr>
    </w:p>
    <w:p w:rsidR="00E97B2B" w:rsidRPr="007579B0" w:rsidRDefault="00E97B2B" w:rsidP="00E97B2B">
      <w:pPr>
        <w:jc w:val="left"/>
        <w:rPr>
          <w:noProof/>
          <w:sz w:val="20"/>
        </w:rPr>
      </w:pPr>
    </w:p>
    <w:p w:rsidR="00E97B2B" w:rsidRPr="007579B0" w:rsidRDefault="00E97B2B" w:rsidP="00E97B2B">
      <w:pPr>
        <w:jc w:val="center"/>
        <w:rPr>
          <w:noProof/>
          <w:sz w:val="20"/>
        </w:rPr>
      </w:pPr>
      <w:r w:rsidRPr="007579B0">
        <w:rPr>
          <w:noProof/>
          <w:sz w:val="20"/>
        </w:rPr>
        <w:drawing>
          <wp:inline distT="0" distB="0" distL="0" distR="0" wp14:anchorId="6ADE60FB" wp14:editId="703B6BED">
            <wp:extent cx="2039144" cy="2330450"/>
            <wp:effectExtent l="0" t="0" r="0" b="0"/>
            <wp:docPr id="2" name="Рисунок 2" descr="C:\Data\ЦФЭОформление\ТГ_БюджетУч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ТГ_БюджетУче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65" cy="234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B2B" w:rsidRPr="007579B0" w:rsidRDefault="00E97B2B" w:rsidP="00E97B2B">
      <w:pPr>
        <w:jc w:val="center"/>
        <w:rPr>
          <w:b/>
          <w:noProof/>
          <w:sz w:val="20"/>
        </w:rPr>
      </w:pPr>
    </w:p>
    <w:p w:rsidR="00E97B2B" w:rsidRPr="007579B0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«Бюджетный учет»</w:t>
      </w:r>
    </w:p>
    <w:p w:rsidR="00E97B2B" w:rsidRPr="007579B0" w:rsidRDefault="00E97B2B" w:rsidP="00E97B2B">
      <w:pPr>
        <w:jc w:val="left"/>
        <w:rPr>
          <w:noProof/>
          <w:sz w:val="20"/>
        </w:rPr>
      </w:pPr>
    </w:p>
    <w:p w:rsidR="00E97B2B" w:rsidRPr="007579B0" w:rsidRDefault="00E97B2B" w:rsidP="00E97B2B">
      <w:pPr>
        <w:jc w:val="center"/>
        <w:rPr>
          <w:sz w:val="20"/>
        </w:rPr>
      </w:pPr>
      <w:r w:rsidRPr="007579B0">
        <w:rPr>
          <w:noProof/>
          <w:sz w:val="20"/>
        </w:rPr>
        <w:drawing>
          <wp:inline distT="0" distB="0" distL="0" distR="0" wp14:anchorId="32A84EEC" wp14:editId="7DE875E5">
            <wp:extent cx="1961579" cy="2348865"/>
            <wp:effectExtent l="0" t="0" r="635" b="0"/>
            <wp:docPr id="3" name="Рисунок 3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699" cy="236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B2B" w:rsidRPr="007579B0" w:rsidRDefault="00E97B2B" w:rsidP="00E97B2B">
      <w:pPr>
        <w:jc w:val="center"/>
        <w:rPr>
          <w:b/>
          <w:noProof/>
          <w:sz w:val="20"/>
        </w:rPr>
      </w:pPr>
    </w:p>
    <w:p w:rsidR="00E97B2B" w:rsidRPr="007579B0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«Горячая линия бухгалтера»</w:t>
      </w:r>
    </w:p>
    <w:p w:rsidR="00E97B2B" w:rsidRDefault="00E97B2B" w:rsidP="00E97B2B">
      <w:pPr>
        <w:jc w:val="center"/>
        <w:rPr>
          <w:b/>
          <w:noProof/>
          <w:sz w:val="20"/>
        </w:rPr>
      </w:pPr>
      <w:r w:rsidRPr="007579B0">
        <w:rPr>
          <w:b/>
          <w:noProof/>
          <w:sz w:val="20"/>
        </w:rPr>
        <w:t>(оперативные ответы на вопросы)</w:t>
      </w:r>
    </w:p>
    <w:p w:rsidR="00E97B2B" w:rsidRDefault="00E97B2B" w:rsidP="00E97B2B">
      <w:pPr>
        <w:jc w:val="center"/>
        <w:rPr>
          <w:b/>
          <w:noProof/>
          <w:sz w:val="20"/>
        </w:rPr>
      </w:pPr>
    </w:p>
    <w:p w:rsidR="00756A64" w:rsidRDefault="00E97B2B" w:rsidP="00E97B2B">
      <w:pPr>
        <w:jc w:val="center"/>
        <w:rPr>
          <w:b/>
          <w:noProof/>
          <w:sz w:val="20"/>
        </w:rPr>
      </w:pPr>
      <w:r>
        <w:rPr>
          <w:b/>
          <w:noProof/>
          <w:sz w:val="20"/>
        </w:rPr>
        <w:t xml:space="preserve">НАШ ИДЕНТИФИКАТОР В ЭДО (СБИС) </w:t>
      </w:r>
    </w:p>
    <w:p w:rsidR="00E97B2B" w:rsidRPr="00756A64" w:rsidRDefault="00E97B2B" w:rsidP="00756A64">
      <w:pPr>
        <w:jc w:val="center"/>
        <w:rPr>
          <w:b/>
          <w:noProof/>
          <w:sz w:val="20"/>
        </w:rPr>
      </w:pPr>
      <w:r w:rsidRPr="00E97B2B">
        <w:rPr>
          <w:b/>
          <w:noProof/>
          <w:sz w:val="20"/>
        </w:rPr>
        <w:t>2BEdc9b36e2120a4ec59f316e4f43bfb9b4</w:t>
      </w:r>
    </w:p>
    <w:sectPr w:rsidR="00E97B2B" w:rsidRPr="00756A64" w:rsidSect="000E4E99">
      <w:footerReference w:type="default" r:id="rId9"/>
      <w:pgSz w:w="11908" w:h="16848"/>
      <w:pgMar w:top="993" w:right="283" w:bottom="851" w:left="567" w:header="850" w:footer="28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92C" w:rsidRDefault="005E292C" w:rsidP="00E97B2B">
      <w:r>
        <w:separator/>
      </w:r>
    </w:p>
  </w:endnote>
  <w:endnote w:type="continuationSeparator" w:id="0">
    <w:p w:rsidR="005E292C" w:rsidRDefault="005E292C" w:rsidP="00E9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152170"/>
      <w:docPartObj>
        <w:docPartGallery w:val="Page Numbers (Bottom of Page)"/>
        <w:docPartUnique/>
      </w:docPartObj>
    </w:sdtPr>
    <w:sdtContent>
      <w:p w:rsidR="000E4E99" w:rsidRDefault="000E4E9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5E4">
          <w:rPr>
            <w:noProof/>
          </w:rPr>
          <w:t>8</w:t>
        </w:r>
        <w:r>
          <w:fldChar w:fldCharType="end"/>
        </w:r>
      </w:p>
    </w:sdtContent>
  </w:sdt>
  <w:p w:rsidR="000E4E99" w:rsidRDefault="000E4E9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92C" w:rsidRDefault="005E292C" w:rsidP="00E97B2B">
      <w:r>
        <w:separator/>
      </w:r>
    </w:p>
  </w:footnote>
  <w:footnote w:type="continuationSeparator" w:id="0">
    <w:p w:rsidR="005E292C" w:rsidRDefault="005E292C" w:rsidP="00E97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9"/>
    <w:rsid w:val="000E4E99"/>
    <w:rsid w:val="00244629"/>
    <w:rsid w:val="005E292C"/>
    <w:rsid w:val="005E79A9"/>
    <w:rsid w:val="00756A64"/>
    <w:rsid w:val="00976DB9"/>
    <w:rsid w:val="00C465E4"/>
    <w:rsid w:val="00E97B2B"/>
    <w:rsid w:val="00F1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73DF31-29EF-4668-A0F4-AC4E4E61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E97B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97B2B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E97B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97B2B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2312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Балдина</cp:lastModifiedBy>
  <cp:revision>3</cp:revision>
  <dcterms:created xsi:type="dcterms:W3CDTF">2025-03-24T06:03:00Z</dcterms:created>
  <dcterms:modified xsi:type="dcterms:W3CDTF">2025-06-13T06:08:00Z</dcterms:modified>
</cp:coreProperties>
</file>