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5" w:rsidRDefault="00C245E5" w:rsidP="00B20FC9">
      <w:pPr>
        <w:pStyle w:val="1"/>
        <w:jc w:val="center"/>
        <w:rPr>
          <w:b w:val="0"/>
        </w:rPr>
        <w:sectPr w:rsidR="00C245E5" w:rsidSect="001D409C">
          <w:headerReference w:type="default" r:id="rId7"/>
          <w:pgSz w:w="11906" w:h="16838"/>
          <w:pgMar w:top="709" w:right="850" w:bottom="1134" w:left="993" w:header="708" w:footer="708" w:gutter="0"/>
          <w:pgNumType w:start="16"/>
          <w:cols w:space="708"/>
          <w:docGrid w:linePitch="360"/>
        </w:sectPr>
      </w:pPr>
      <w:bookmarkStart w:id="0" w:name="_GoBack"/>
      <w:bookmarkEnd w:id="0"/>
    </w:p>
    <w:p w:rsidR="00B54F2D" w:rsidRPr="005B2072" w:rsidRDefault="00B20FC9" w:rsidP="00B20FC9">
      <w:pPr>
        <w:pStyle w:val="1"/>
        <w:jc w:val="center"/>
        <w:rPr>
          <w:b w:val="0"/>
        </w:rPr>
      </w:pPr>
      <w:r>
        <w:rPr>
          <w:b w:val="0"/>
        </w:rPr>
        <w:lastRenderedPageBreak/>
        <w:t>Последние и</w:t>
      </w:r>
      <w:r w:rsidR="00475318" w:rsidRPr="005B2072">
        <w:rPr>
          <w:b w:val="0"/>
        </w:rPr>
        <w:t>зменения в налоговом законодательстве с 2020 года</w:t>
      </w:r>
    </w:p>
    <w:p w:rsidR="00F04C88" w:rsidRDefault="00A6517C" w:rsidP="00A6517C">
      <w:r w:rsidRPr="005B2072">
        <w:t xml:space="preserve">В </w:t>
      </w:r>
      <w:r w:rsidR="00F04C88" w:rsidRPr="005B2072">
        <w:t>течение 2019 года был принят ряд</w:t>
      </w:r>
      <w:r w:rsidRPr="005B2072">
        <w:t xml:space="preserve"> федеральных законов, вносящих поправки в НК РФ. Новые виды налогов не вводились, </w:t>
      </w:r>
      <w:r w:rsidR="00F04C88" w:rsidRPr="005B2072">
        <w:t xml:space="preserve">но по уже действующим корректировки коснулись правил формирования облагаемой базы, размера ставок, отчетности, перечня льгот и пр. </w:t>
      </w:r>
      <w:r w:rsidRPr="005B2072">
        <w:t xml:space="preserve">Мы рассказываем </w:t>
      </w:r>
      <w:r w:rsidR="00F04C88" w:rsidRPr="005B2072">
        <w:t xml:space="preserve">в статье </w:t>
      </w:r>
      <w:r w:rsidRPr="005B2072">
        <w:t xml:space="preserve">о тех </w:t>
      </w:r>
      <w:r w:rsidR="0095141A" w:rsidRPr="005B2072">
        <w:t xml:space="preserve">изменениях в налоговом законодательстве, </w:t>
      </w:r>
      <w:r w:rsidR="00306073" w:rsidRPr="005B2072">
        <w:t>которые начинают действовать</w:t>
      </w:r>
      <w:r w:rsidR="0095141A" w:rsidRPr="005B2072">
        <w:t xml:space="preserve"> с 1 января 2020 года в России.</w:t>
      </w:r>
    </w:p>
    <w:p w:rsidR="00B20FC9" w:rsidRPr="005B2072" w:rsidRDefault="00B20FC9" w:rsidP="00A6517C"/>
    <w:p w:rsidR="00475318" w:rsidRPr="005B2072" w:rsidRDefault="00475318" w:rsidP="00475318">
      <w:pPr>
        <w:pStyle w:val="2"/>
        <w:rPr>
          <w:b w:val="0"/>
        </w:rPr>
      </w:pPr>
      <w:r w:rsidRPr="005B2072">
        <w:rPr>
          <w:b w:val="0"/>
        </w:rPr>
        <w:t>Изменения по НДС</w:t>
      </w:r>
    </w:p>
    <w:p w:rsidR="00DE76A5" w:rsidRPr="005B2072" w:rsidRDefault="00DE76A5" w:rsidP="00DE76A5">
      <w:r w:rsidRPr="005B2072">
        <w:rPr>
          <w:rFonts w:eastAsia="Times New Roman"/>
        </w:rPr>
        <w:t>Приказом ФНС России от 19.12.2018 года № ММВ-7-15/820@</w:t>
      </w:r>
      <w:r w:rsidR="004E7AA0" w:rsidRPr="005B2072">
        <w:rPr>
          <w:rFonts w:eastAsia="Times New Roman"/>
        </w:rPr>
        <w:t xml:space="preserve"> со 2.02.2019</w:t>
      </w:r>
      <w:r w:rsidR="00F04C88" w:rsidRPr="005B2072">
        <w:rPr>
          <w:rFonts w:eastAsia="Times New Roman"/>
        </w:rPr>
        <w:t xml:space="preserve"> </w:t>
      </w:r>
      <w:r w:rsidR="004E7AA0" w:rsidRPr="005B2072">
        <w:rPr>
          <w:rFonts w:eastAsia="Times New Roman"/>
        </w:rPr>
        <w:t>года утверждены новые форматы электронных счетов-фактур и УПД. В них учтены повышение налоговой ставки и введение обязательной марк</w:t>
      </w:r>
      <w:r w:rsidR="00F04C88" w:rsidRPr="005B2072">
        <w:rPr>
          <w:rFonts w:eastAsia="Times New Roman"/>
        </w:rPr>
        <w:t xml:space="preserve">ировки. По 31.12.2019 года </w:t>
      </w:r>
      <w:r w:rsidR="004E7AA0" w:rsidRPr="005B2072">
        <w:rPr>
          <w:rFonts w:eastAsia="Times New Roman"/>
        </w:rPr>
        <w:t>разрешено использование</w:t>
      </w:r>
      <w:r w:rsidR="00B26AFC" w:rsidRPr="005B2072">
        <w:rPr>
          <w:rFonts w:eastAsia="Times New Roman"/>
        </w:rPr>
        <w:t xml:space="preserve"> как</w:t>
      </w:r>
      <w:r w:rsidR="004E7AA0" w:rsidRPr="005B2072">
        <w:rPr>
          <w:rFonts w:eastAsia="Times New Roman"/>
        </w:rPr>
        <w:t xml:space="preserve"> </w:t>
      </w:r>
      <w:r w:rsidR="00B26AFC" w:rsidRPr="005B2072">
        <w:rPr>
          <w:rFonts w:eastAsia="Times New Roman"/>
        </w:rPr>
        <w:t xml:space="preserve">новой, так и </w:t>
      </w:r>
      <w:r w:rsidR="004E7AA0" w:rsidRPr="005B2072">
        <w:rPr>
          <w:rFonts w:eastAsia="Times New Roman"/>
        </w:rPr>
        <w:t xml:space="preserve">предыдущей версии </w:t>
      </w:r>
      <w:r w:rsidR="00B26AFC" w:rsidRPr="005B2072">
        <w:rPr>
          <w:rFonts w:eastAsia="Times New Roman"/>
        </w:rPr>
        <w:t xml:space="preserve">указанных документов. </w:t>
      </w:r>
      <w:r w:rsidR="00B26AFC" w:rsidRPr="005B2072">
        <w:t>С 2020 года приказ ФНС от 24.03.2016 года № ММВ-7-15/155@ признается утратившим силу, поэтому все счет-фактуры и УПД нужно будет оформлять по новым правилам.</w:t>
      </w:r>
    </w:p>
    <w:p w:rsidR="00B20FC9" w:rsidRDefault="00B20FC9" w:rsidP="00DE76A5"/>
    <w:p w:rsidR="00AC1CC2" w:rsidRPr="005B2072" w:rsidRDefault="00746ED6" w:rsidP="00DE76A5">
      <w:r w:rsidRPr="005B2072">
        <w:t>Организации</w:t>
      </w:r>
      <w:r w:rsidR="00B26AFC" w:rsidRPr="005B2072">
        <w:t xml:space="preserve"> и ИП, применяю</w:t>
      </w:r>
      <w:r w:rsidRPr="005B2072">
        <w:t>щие ЕСХН, в 2020 году смогут претендовать на освобождение от обязанностей налогоплательщика по НДС, если доход от реализации товаров, работ</w:t>
      </w:r>
      <w:r w:rsidR="006567DF" w:rsidRPr="005B2072">
        <w:t xml:space="preserve"> и услуг за 2019 год не превысит</w:t>
      </w:r>
      <w:r w:rsidRPr="005B2072">
        <w:t xml:space="preserve"> 90 млн. руб. (без учета налога). Такая норма предусмотрена п.1 ст.145 НК РФ. Заявление следует подать </w:t>
      </w:r>
      <w:r w:rsidR="00AC1CC2" w:rsidRPr="005B2072">
        <w:t>не позднее 20 числа месяца, начиная с которого плательщик сельскохозяйственного налога хочет получить освобождение от НДС.</w:t>
      </w:r>
    </w:p>
    <w:p w:rsidR="00B86B82" w:rsidRPr="005B2072" w:rsidRDefault="00B86B82" w:rsidP="00DE76A5"/>
    <w:p w:rsidR="00B86B82" w:rsidRPr="005B2072" w:rsidRDefault="00B86B82" w:rsidP="00B86B82">
      <w:r w:rsidRPr="005B2072">
        <w:t>Законом 325-ФЗ от 29.09.2019 года добавлены основания для восстановления НДС в п.3 ст.170 НК РФ. С 01.01.2020 года восстанавливать принятые к вычету суммы налога будут обязаны:</w:t>
      </w:r>
    </w:p>
    <w:p w:rsidR="00B86B82" w:rsidRPr="005B2072" w:rsidRDefault="00B86B82" w:rsidP="00B20FC9">
      <w:pPr>
        <w:pStyle w:val="a4"/>
        <w:numPr>
          <w:ilvl w:val="0"/>
          <w:numId w:val="2"/>
        </w:numPr>
        <w:ind w:left="0" w:firstLine="0"/>
        <w:rPr>
          <w:rFonts w:eastAsia="Times New Roman"/>
        </w:rPr>
      </w:pPr>
      <w:r w:rsidRPr="005B2072">
        <w:rPr>
          <w:rFonts w:eastAsia="Times New Roman"/>
        </w:rPr>
        <w:t>налогоплательщики, начинающие совмещать ЕНВД и ОСНО;</w:t>
      </w:r>
    </w:p>
    <w:p w:rsidR="00B86B82" w:rsidRPr="005B2072" w:rsidRDefault="00B86B82" w:rsidP="00B20FC9">
      <w:pPr>
        <w:pStyle w:val="a4"/>
        <w:numPr>
          <w:ilvl w:val="0"/>
          <w:numId w:val="2"/>
        </w:numPr>
        <w:ind w:left="0" w:firstLine="0"/>
        <w:rPr>
          <w:rFonts w:eastAsia="Times New Roman"/>
        </w:rPr>
      </w:pPr>
      <w:r w:rsidRPr="005B2072">
        <w:rPr>
          <w:rFonts w:eastAsia="Times New Roman"/>
        </w:rPr>
        <w:t>правопреемники реорганизованных юрлиц, использующие ресурсы, по которым предшественником получен вычет, в деятельности, не облагаемой НДС.</w:t>
      </w:r>
    </w:p>
    <w:p w:rsidR="00AC1CC2" w:rsidRPr="005B2072" w:rsidRDefault="00AC1CC2" w:rsidP="00DE76A5"/>
    <w:p w:rsidR="002D65AE" w:rsidRPr="005B2072" w:rsidRDefault="00306073" w:rsidP="00DE76A5">
      <w:r w:rsidRPr="005B2072">
        <w:t>Благодаря изменениям в налоговом законодательстве, с 1 января 2020 года р</w:t>
      </w:r>
      <w:r w:rsidR="00AC1CC2" w:rsidRPr="005B2072">
        <w:t>егиональные операторы по обращению с твердыми коммунальными отходами, на у</w:t>
      </w:r>
      <w:r w:rsidRPr="005B2072">
        <w:t xml:space="preserve">слуги которых </w:t>
      </w:r>
      <w:r w:rsidR="00AC1CC2" w:rsidRPr="005B2072">
        <w:t xml:space="preserve">органами исполнительной власти субъектов РФ или местного самоуправления утверждены единые тарифы, </w:t>
      </w:r>
      <w:r w:rsidR="00AC521A" w:rsidRPr="005B2072">
        <w:t xml:space="preserve">получат право не платить НДС на основании п.2 ст.149 НК РФ. Это положение внесено законом 211-ФЗ от 26.07.2019 года. Пользоваться указанной льготой операторы смогут в течение пяти последовательных календарных лет, начиная с года введения единого тарифа. </w:t>
      </w:r>
    </w:p>
    <w:p w:rsidR="00475318" w:rsidRPr="005B2072" w:rsidRDefault="00475318" w:rsidP="00475318"/>
    <w:p w:rsidR="00475318" w:rsidRPr="005B2072" w:rsidRDefault="00475318" w:rsidP="00475318">
      <w:pPr>
        <w:pStyle w:val="2"/>
        <w:rPr>
          <w:b w:val="0"/>
        </w:rPr>
      </w:pPr>
      <w:r w:rsidRPr="005B2072">
        <w:rPr>
          <w:b w:val="0"/>
        </w:rPr>
        <w:t>Изменения по НДФЛ</w:t>
      </w:r>
    </w:p>
    <w:p w:rsidR="0020473B" w:rsidRPr="005B2072" w:rsidRDefault="0020473B" w:rsidP="005C10B8">
      <w:pPr>
        <w:jc w:val="left"/>
      </w:pPr>
      <w:r w:rsidRPr="005B2072">
        <w:t>В 2020</w:t>
      </w:r>
      <w:r w:rsidR="00904E11" w:rsidRPr="005B2072">
        <w:t xml:space="preserve"> году увеличит</w:t>
      </w:r>
      <w:r w:rsidR="007339BC" w:rsidRPr="005B2072">
        <w:t>с</w:t>
      </w:r>
      <w:r w:rsidR="006567DF" w:rsidRPr="005B2072">
        <w:t>я перечень доходов, с которых не берется подоходный</w:t>
      </w:r>
      <w:r w:rsidR="007339BC" w:rsidRPr="005B2072">
        <w:t xml:space="preserve"> </w:t>
      </w:r>
      <w:r w:rsidR="006567DF" w:rsidRPr="005B2072">
        <w:t xml:space="preserve">налог. В </w:t>
      </w:r>
      <w:r w:rsidR="00904E11" w:rsidRPr="005B2072">
        <w:t>гл.217 НК РФ на основании закона 147-ФЗ от 17.06.2019 года включены:</w:t>
      </w:r>
    </w:p>
    <w:p w:rsidR="00904E11" w:rsidRPr="005B2072" w:rsidRDefault="00E244E5" w:rsidP="005C10B8">
      <w:pPr>
        <w:pStyle w:val="a4"/>
        <w:numPr>
          <w:ilvl w:val="0"/>
          <w:numId w:val="3"/>
        </w:numPr>
      </w:pPr>
      <w:r w:rsidRPr="005B2072">
        <w:t>Д</w:t>
      </w:r>
      <w:r w:rsidR="00904E11" w:rsidRPr="005B2072">
        <w:t>енежная компенсация, установленная законодательством РФ или субъекта РФ</w:t>
      </w:r>
      <w:r w:rsidRPr="005B2072">
        <w:t>, взамен полагающегося земельного участка (п.41.2).</w:t>
      </w:r>
    </w:p>
    <w:p w:rsidR="00E244E5" w:rsidRPr="005B2072" w:rsidRDefault="00E244E5" w:rsidP="005C10B8">
      <w:pPr>
        <w:pStyle w:val="a4"/>
        <w:numPr>
          <w:ilvl w:val="0"/>
          <w:numId w:val="3"/>
        </w:numPr>
      </w:pPr>
      <w:r w:rsidRPr="005B2072">
        <w:t>Доходы в денежной и натуральной формах, связанные с рождение</w:t>
      </w:r>
      <w:r w:rsidR="003E5797" w:rsidRPr="005B2072">
        <w:t>м</w:t>
      </w:r>
      <w:r w:rsidRPr="005B2072">
        <w:t xml:space="preserve"> ребенка, полученные в соответствии с законами РФ и субъектов РФ (п.77).</w:t>
      </w:r>
    </w:p>
    <w:p w:rsidR="00E244E5" w:rsidRPr="005B2072" w:rsidRDefault="00E244E5" w:rsidP="005C10B8">
      <w:pPr>
        <w:pStyle w:val="a4"/>
        <w:numPr>
          <w:ilvl w:val="0"/>
          <w:numId w:val="3"/>
        </w:numPr>
      </w:pPr>
      <w:r w:rsidRPr="005B2072">
        <w:t>Оплата дополнительных выходных дней лицам, осуществляющим уход за детьми-инвалидами (п.78).</w:t>
      </w:r>
    </w:p>
    <w:p w:rsidR="005C10B8" w:rsidRPr="005B2072" w:rsidRDefault="00BD20F0" w:rsidP="005C10B8">
      <w:pPr>
        <w:spacing w:line="240" w:lineRule="auto"/>
      </w:pPr>
      <w:r w:rsidRPr="005B2072">
        <w:lastRenderedPageBreak/>
        <w:t>В п.1 ст</w:t>
      </w:r>
      <w:r w:rsidR="00E244E5" w:rsidRPr="005B2072">
        <w:t>.217 в перечень необлагаемых компенсационных выплат включена оплата проезда к месту проведения отпуска и обратно работника</w:t>
      </w:r>
      <w:r w:rsidR="005C10B8" w:rsidRPr="005B2072">
        <w:t>м, проживающим в районах Крайнего Севера и в приравненных к ним местностях. Ранее такие указания в НК РФ отсутствовали, и Минфин рекомендовал (письмо от 22.01.2018 г</w:t>
      </w:r>
      <w:r w:rsidR="006567DF" w:rsidRPr="005B2072">
        <w:t>ода</w:t>
      </w:r>
      <w:r w:rsidR="005C10B8" w:rsidRPr="005B2072">
        <w:t xml:space="preserve"> № 03-04-05/3154) руководствоваться судебной практикой, которая складывалась в пользу освобождения стоимости проезда от НДФЛ. С 2020 года такая норма будет закреплена в НК РФ.</w:t>
      </w:r>
    </w:p>
    <w:p w:rsidR="00BD20F0" w:rsidRPr="005B2072" w:rsidRDefault="00BD20F0" w:rsidP="005C10B8">
      <w:pPr>
        <w:spacing w:line="240" w:lineRule="auto"/>
      </w:pPr>
    </w:p>
    <w:p w:rsidR="00BD20F0" w:rsidRPr="005B2072" w:rsidRDefault="00BD20F0" w:rsidP="005C10B8">
      <w:pPr>
        <w:spacing w:line="240" w:lineRule="auto"/>
      </w:pPr>
      <w:r w:rsidRPr="005B2072">
        <w:t>Закон 210-ФЗ вносит корректировки в ст. 217, освобождающие должников от уплаты НДФЛ с суммы списанного безнадежного долга (п.62.1) при соблюдении двух условий:</w:t>
      </w:r>
    </w:p>
    <w:p w:rsidR="002F0F5B" w:rsidRPr="005B2072" w:rsidRDefault="00BD20F0" w:rsidP="00B20FC9">
      <w:pPr>
        <w:pStyle w:val="a4"/>
        <w:numPr>
          <w:ilvl w:val="0"/>
          <w:numId w:val="4"/>
        </w:numPr>
        <w:spacing w:line="240" w:lineRule="auto"/>
        <w:ind w:left="0" w:firstLine="0"/>
      </w:pPr>
      <w:r w:rsidRPr="005B2072">
        <w:t xml:space="preserve">физлицо-должник в течение всего периода существования задолженности не должно </w:t>
      </w:r>
      <w:r w:rsidR="002F0F5B" w:rsidRPr="005B2072">
        <w:t>быть взаимозависимым с кредитором или работать на него;</w:t>
      </w:r>
    </w:p>
    <w:p w:rsidR="002F0F5B" w:rsidRPr="005B2072" w:rsidRDefault="002F0F5B" w:rsidP="00B20FC9">
      <w:pPr>
        <w:pStyle w:val="a4"/>
        <w:numPr>
          <w:ilvl w:val="0"/>
          <w:numId w:val="4"/>
        </w:numPr>
        <w:spacing w:line="240" w:lineRule="auto"/>
        <w:ind w:left="0" w:firstLine="0"/>
      </w:pPr>
      <w:r w:rsidRPr="005B2072">
        <w:t>списание долга не должно являться исполнением встречных обязательств или материальной помощью.</w:t>
      </w:r>
    </w:p>
    <w:p w:rsidR="002F0F5B" w:rsidRPr="005B2072" w:rsidRDefault="002F0F5B" w:rsidP="002F0F5B">
      <w:pPr>
        <w:spacing w:line="240" w:lineRule="auto"/>
      </w:pPr>
      <w:r w:rsidRPr="005B2072">
        <w:t>Для тех, кто не выполняет эти условия и должен платить НДФЛ</w:t>
      </w:r>
      <w:r w:rsidR="00E63510" w:rsidRPr="005B2072">
        <w:t>,</w:t>
      </w:r>
      <w:r w:rsidRPr="005B2072">
        <w:t xml:space="preserve"> изменена дата получения дохода. С 2020 года доход считается полученным в день признания долга безнадежным. </w:t>
      </w:r>
    </w:p>
    <w:p w:rsidR="002F0F5B" w:rsidRPr="005B2072" w:rsidRDefault="002F0F5B" w:rsidP="002F0F5B">
      <w:pPr>
        <w:spacing w:line="240" w:lineRule="auto"/>
      </w:pPr>
    </w:p>
    <w:p w:rsidR="00BD20F0" w:rsidRPr="005B2072" w:rsidRDefault="002F0F5B" w:rsidP="002F0F5B">
      <w:pPr>
        <w:spacing w:line="240" w:lineRule="auto"/>
      </w:pPr>
      <w:r w:rsidRPr="005B2072">
        <w:t xml:space="preserve">В 210-ФЗ введены льготы по подоходному налогу при продаже единственного жилья. В этом случае не взимается налог с полученного дохода, если продавец владел квартирой, комнатой или домом не менее 3 лет. Если продавец приобрел себе новое жилье не ранее, </w:t>
      </w:r>
      <w:r w:rsidR="00E63510" w:rsidRPr="005B2072">
        <w:t>чем за 90 дней до того, как было</w:t>
      </w:r>
      <w:r w:rsidRPr="005B2072">
        <w:t xml:space="preserve"> передан</w:t>
      </w:r>
      <w:r w:rsidR="009068FC" w:rsidRPr="005B2072">
        <w:t>о право собственности</w:t>
      </w:r>
      <w:r w:rsidRPr="005B2072">
        <w:t xml:space="preserve"> </w:t>
      </w:r>
      <w:r w:rsidR="009068FC" w:rsidRPr="005B2072">
        <w:t>на реализуемый объект, льгота сохраняется.</w:t>
      </w:r>
    </w:p>
    <w:p w:rsidR="005C10B8" w:rsidRPr="005B2072" w:rsidRDefault="005C10B8" w:rsidP="005C10B8">
      <w:pPr>
        <w:spacing w:line="240" w:lineRule="auto"/>
      </w:pPr>
    </w:p>
    <w:p w:rsidR="005C10B8" w:rsidRPr="005B2072" w:rsidRDefault="005C10B8" w:rsidP="005C10B8">
      <w:pPr>
        <w:spacing w:line="240" w:lineRule="auto"/>
      </w:pPr>
      <w:r w:rsidRPr="005B2072">
        <w:t xml:space="preserve">Законом 79-ФЗ от 01.05.2019 года ратифицирована </w:t>
      </w:r>
      <w:r w:rsidR="00BD20F0" w:rsidRPr="005B2072">
        <w:t>многосторонняя Конвенция по противодействию размыванию налоговой базы. С ее положениями нужно будет сверяться при выплате доходов, облагаемых НДФЛ у источника, иностранцу, являющемуся гражданином страны, подписавшей конвенцию.</w:t>
      </w:r>
    </w:p>
    <w:p w:rsidR="009068FC" w:rsidRPr="005B2072" w:rsidRDefault="009068FC" w:rsidP="005C10B8">
      <w:pPr>
        <w:spacing w:line="240" w:lineRule="auto"/>
      </w:pPr>
    </w:p>
    <w:p w:rsidR="009068FC" w:rsidRPr="005B2072" w:rsidRDefault="009068FC" w:rsidP="005C10B8">
      <w:pPr>
        <w:spacing w:line="240" w:lineRule="auto"/>
      </w:pPr>
      <w:r w:rsidRPr="005B2072">
        <w:t>Еще одним важным законодательным актом, внесшим поправки в НК РФ, касающиеся НДФЛ, является закон 325-ФЗ от 29.09.2019 года. В этом документе содержатся следующие положения</w:t>
      </w:r>
      <w:r w:rsidR="008B072E" w:rsidRPr="005B2072">
        <w:t>, вступающие в силу в 2020 году</w:t>
      </w:r>
      <w:r w:rsidRPr="005B2072">
        <w:t>:</w:t>
      </w:r>
    </w:p>
    <w:p w:rsidR="008B072E" w:rsidRPr="005B2072" w:rsidRDefault="008B072E" w:rsidP="00B20FC9">
      <w:pPr>
        <w:pStyle w:val="a4"/>
        <w:numPr>
          <w:ilvl w:val="0"/>
          <w:numId w:val="5"/>
        </w:numPr>
        <w:spacing w:line="240" w:lineRule="auto"/>
        <w:ind w:left="0" w:firstLine="0"/>
      </w:pPr>
      <w:r w:rsidRPr="005B2072">
        <w:t>представлять 2-НДФЛ и 6-НДФЛ в электронном виде обязаны работодатели, выплатившие в отчетном периоде доход 10 и более работникам;</w:t>
      </w:r>
    </w:p>
    <w:p w:rsidR="008B072E" w:rsidRPr="005B2072" w:rsidRDefault="008B072E" w:rsidP="00B20FC9">
      <w:pPr>
        <w:pStyle w:val="a4"/>
        <w:numPr>
          <w:ilvl w:val="0"/>
          <w:numId w:val="5"/>
        </w:numPr>
        <w:spacing w:line="240" w:lineRule="auto"/>
        <w:ind w:left="0" w:firstLine="0"/>
      </w:pPr>
      <w:r w:rsidRPr="005B2072">
        <w:t>срок сдачи справок 2-НДФЛ и годовой формы 6-НДФЛ перенесен с 1 апреля на 1 марта года, следующего за отчетным;</w:t>
      </w:r>
    </w:p>
    <w:p w:rsidR="008B072E" w:rsidRPr="005B2072" w:rsidRDefault="008B072E" w:rsidP="00B20FC9">
      <w:pPr>
        <w:pStyle w:val="a4"/>
        <w:numPr>
          <w:ilvl w:val="0"/>
          <w:numId w:val="5"/>
        </w:numPr>
        <w:spacing w:line="240" w:lineRule="auto"/>
        <w:ind w:left="0" w:firstLine="0"/>
      </w:pPr>
      <w:r w:rsidRPr="005B2072">
        <w:t>организации, имеющие несколько обособленных подразделений в одном муницип</w:t>
      </w:r>
      <w:r w:rsidR="00C360A1" w:rsidRPr="005B2072">
        <w:t>альном образовании (с единым</w:t>
      </w:r>
      <w:r w:rsidRPr="005B2072">
        <w:t xml:space="preserve"> ОКТМО), могут выбрать одно из них, которое будет производить общие платежи и предост</w:t>
      </w:r>
      <w:r w:rsidR="00165BF3" w:rsidRPr="005B2072">
        <w:t>авлять общую отчетность.</w:t>
      </w:r>
    </w:p>
    <w:p w:rsidR="008B072E" w:rsidRPr="005B2072" w:rsidRDefault="008B072E" w:rsidP="008B072E">
      <w:pPr>
        <w:spacing w:line="240" w:lineRule="auto"/>
      </w:pPr>
      <w:r w:rsidRPr="005B2072">
        <w:t>Закон 325-ФЗ разрешит организациям перечислять в бюджет НДФЛ, начисленный по результатам проверок, за счет собственных средств. В настоящее время налоговый агент не вправе произвести платеж до удержания суммы налога из дохода работника.</w:t>
      </w:r>
      <w:r w:rsidR="00165BF3" w:rsidRPr="005B2072">
        <w:t xml:space="preserve"> В ЕНП (единый налоговый платеж) для физлиц, предназначенный только для имущественных налогов, с 2020 года можно будет включать НДФЛ, предъявленный </w:t>
      </w:r>
      <w:r w:rsidR="000E09D0" w:rsidRPr="005B2072">
        <w:t>к уплате ИФНС.</w:t>
      </w:r>
    </w:p>
    <w:p w:rsidR="00475318" w:rsidRPr="005B2072" w:rsidRDefault="00475318" w:rsidP="00C360A1">
      <w:pPr>
        <w:spacing w:line="240" w:lineRule="auto"/>
      </w:pPr>
    </w:p>
    <w:p w:rsidR="00475318" w:rsidRPr="005B2072" w:rsidRDefault="00475318" w:rsidP="00475318">
      <w:pPr>
        <w:pStyle w:val="2"/>
        <w:rPr>
          <w:b w:val="0"/>
        </w:rPr>
      </w:pPr>
      <w:r w:rsidRPr="005B2072">
        <w:rPr>
          <w:b w:val="0"/>
        </w:rPr>
        <w:t>Изменения по страховым взносам</w:t>
      </w:r>
    </w:p>
    <w:p w:rsidR="00C360A1" w:rsidRPr="005B2072" w:rsidRDefault="00C360A1" w:rsidP="00C360A1">
      <w:r w:rsidRPr="005B2072">
        <w:t xml:space="preserve">На основании Постановления Правительства от 01.12.2018 года </w:t>
      </w:r>
      <w:r w:rsidR="00E63510" w:rsidRPr="005B2072">
        <w:t xml:space="preserve">№ 1459 </w:t>
      </w:r>
      <w:r w:rsidRPr="005B2072">
        <w:t xml:space="preserve">расширяется перечень регионов, участвующих в пилотном проекте ФСС. С января 2020 года в него войдут Кировская, Кемеровская, Саратовская, Оренбургская и Тверская области, </w:t>
      </w:r>
      <w:r w:rsidR="00107D84" w:rsidRPr="005B2072">
        <w:t>республики Коми, Саха (Якутия) и Удмуртская, Ямало-Ненецкий АО. С июля добавятся Красноярский и Ставропольский края, республики Башкортостан и Дагестан, Волгоградская, Иркутская, Ленинградская, Тюменская и Ярославская области. В этих регионах в указанные периоды работодатели будут готовить документы для расчета пособий, а начислять и выплачивать их будет ФСС.</w:t>
      </w:r>
    </w:p>
    <w:p w:rsidR="001D409C" w:rsidRDefault="001D409C" w:rsidP="00C360A1"/>
    <w:p w:rsidR="00107D84" w:rsidRPr="005B2072" w:rsidRDefault="00107D84" w:rsidP="00C360A1">
      <w:r w:rsidRPr="005B2072">
        <w:t>Минфин подготовил проект Постановлени</w:t>
      </w:r>
      <w:r w:rsidR="008A56FC" w:rsidRPr="005B2072">
        <w:t>я Правительства РФ о предельном размере облагаемой базы в 2020 году для начисления страховых взносов:</w:t>
      </w:r>
    </w:p>
    <w:p w:rsidR="008A56FC" w:rsidRPr="005B2072" w:rsidRDefault="008A56FC" w:rsidP="00B20FC9">
      <w:pPr>
        <w:pStyle w:val="a4"/>
        <w:numPr>
          <w:ilvl w:val="0"/>
          <w:numId w:val="6"/>
        </w:numPr>
        <w:ind w:left="0" w:firstLine="0"/>
      </w:pPr>
      <w:r w:rsidRPr="005B2072">
        <w:t>На обязательное социальное страхование – 912000 руб. Сумма рассчитана</w:t>
      </w:r>
      <w:r w:rsidR="007149F1" w:rsidRPr="005B2072">
        <w:t>,</w:t>
      </w:r>
      <w:r w:rsidRPr="005B2072">
        <w:t xml:space="preserve"> исходя из прошлогоднего значения с применением коэффициента предполагаемой инфляции 1.054.</w:t>
      </w:r>
    </w:p>
    <w:p w:rsidR="008A56FC" w:rsidRPr="005B2072" w:rsidRDefault="008A56FC" w:rsidP="00B20FC9">
      <w:pPr>
        <w:pStyle w:val="a4"/>
        <w:numPr>
          <w:ilvl w:val="0"/>
          <w:numId w:val="6"/>
        </w:numPr>
        <w:ind w:left="0" w:firstLine="0"/>
      </w:pPr>
      <w:r w:rsidRPr="005B2072">
        <w:t>На обязательное пенсионное страхование – 1292000 руб. Сумма рассчитана по формуле: средняя зарплата на 2020 год, умноженная на 12 месяцев и на повышающий коэффициент, равный 2.2.</w:t>
      </w:r>
    </w:p>
    <w:p w:rsidR="00475318" w:rsidRPr="005B2072" w:rsidRDefault="00475318" w:rsidP="00475318"/>
    <w:p w:rsidR="00475318" w:rsidRDefault="00DF1145" w:rsidP="00475318">
      <w:r w:rsidRPr="005B2072">
        <w:t>Согласно п.2 ст.427</w:t>
      </w:r>
      <w:r w:rsidR="007149F1" w:rsidRPr="005B2072">
        <w:t xml:space="preserve"> НК РФ</w:t>
      </w:r>
      <w:r w:rsidRPr="005B2072">
        <w:t xml:space="preserve">, в 2019 году заканчивается период применения пониженных тарифов страховых взносов для плательщиков, перечисленных в </w:t>
      </w:r>
      <w:r w:rsidR="00165BF3" w:rsidRPr="005B2072">
        <w:t xml:space="preserve">п.1 ст.427 НК РФ. </w:t>
      </w:r>
      <w:r w:rsidRPr="005B2072">
        <w:t xml:space="preserve">С </w:t>
      </w:r>
      <w:r w:rsidR="00165BF3" w:rsidRPr="005B2072">
        <w:t>2020 года бюджетные и автономные научные учреждения, хозяйственные общества и партнерства, внедряющие результаты интеллектуальной деятельности, исключительные права на которые принадлежат их владельцам, и другие организации должны будут начислять взносы на общих основаниях.</w:t>
      </w:r>
    </w:p>
    <w:p w:rsidR="00B20FC9" w:rsidRPr="005B2072" w:rsidRDefault="00B20FC9" w:rsidP="00475318"/>
    <w:p w:rsidR="00475318" w:rsidRPr="005B2072" w:rsidRDefault="00475318" w:rsidP="00C360A1">
      <w:pPr>
        <w:pStyle w:val="2"/>
        <w:rPr>
          <w:b w:val="0"/>
        </w:rPr>
      </w:pPr>
      <w:r w:rsidRPr="005B2072">
        <w:rPr>
          <w:b w:val="0"/>
        </w:rPr>
        <w:t>Изменения по налогу на прибыль</w:t>
      </w:r>
    </w:p>
    <w:p w:rsidR="000E09D0" w:rsidRPr="005B2072" w:rsidRDefault="006322BE" w:rsidP="000E09D0">
      <w:r w:rsidRPr="005B2072">
        <w:t>Законом 210-ФЗ от 26.07.2019 года отменены положения 395-ФЗ от 28.12.2010 года о том, что применение нулевой ставки налога на прибыль образовательными и медицинскими организациями разрешено до 01.01.2020 года. Теперь эти организации смогут и дальше пользоваться льготой, установленной для них в п.1.1. ст.284 НК РФ при соблюдении условий, содержащихся в ст.284.1 НК РФ.</w:t>
      </w:r>
    </w:p>
    <w:p w:rsidR="006322BE" w:rsidRPr="005B2072" w:rsidRDefault="006322BE" w:rsidP="000E09D0"/>
    <w:p w:rsidR="006322BE" w:rsidRPr="005B2072" w:rsidRDefault="006322BE" w:rsidP="000E09D0">
      <w:r w:rsidRPr="005B2072">
        <w:t>С 01.01.2020 года на основании 210-ФЗ изменены правила испо</w:t>
      </w:r>
      <w:r w:rsidR="0092287E" w:rsidRPr="005B2072">
        <w:t>л</w:t>
      </w:r>
      <w:r w:rsidRPr="005B2072">
        <w:t>ьзования инвестиционного вычета. Теперь его можно применять к ОС</w:t>
      </w:r>
      <w:r w:rsidR="0092287E" w:rsidRPr="005B2072">
        <w:t>, относящимся к 8, 9 и 10 амортизационным группам за исключением зданий, сооружений, передаточных устройств. Это по</w:t>
      </w:r>
      <w:r w:rsidR="007149F1" w:rsidRPr="005B2072">
        <w:t xml:space="preserve">ложение п.4 ст.286.1 НК РФ </w:t>
      </w:r>
      <w:r w:rsidR="0092287E" w:rsidRPr="005B2072">
        <w:t>действует только в отношении основных средств, приобретенных либо изготовленных после 1 января 2020 года. В ст.286.1 НК РФ добавлен п.5, разрешающий включать в инвестиционный вычет затраты на создание объектов инфраструктуры:</w:t>
      </w:r>
    </w:p>
    <w:p w:rsidR="0092287E" w:rsidRPr="005B2072" w:rsidRDefault="0092287E" w:rsidP="00B20FC9">
      <w:pPr>
        <w:pStyle w:val="a4"/>
        <w:numPr>
          <w:ilvl w:val="0"/>
          <w:numId w:val="7"/>
        </w:numPr>
        <w:ind w:left="0" w:firstLine="0"/>
      </w:pPr>
      <w:r w:rsidRPr="005B2072">
        <w:t>транспортной и коммунальной – до 100% всех расходов;</w:t>
      </w:r>
    </w:p>
    <w:p w:rsidR="0092287E" w:rsidRPr="005B2072" w:rsidRDefault="00835A67" w:rsidP="00B20FC9">
      <w:pPr>
        <w:pStyle w:val="a4"/>
        <w:numPr>
          <w:ilvl w:val="0"/>
          <w:numId w:val="7"/>
        </w:numPr>
        <w:ind w:left="0" w:firstLine="0"/>
      </w:pPr>
      <w:r w:rsidRPr="005B2072">
        <w:t>социальной – до 80% всех расходов.</w:t>
      </w:r>
    </w:p>
    <w:p w:rsidR="00835A67" w:rsidRPr="005B2072" w:rsidRDefault="00835A67" w:rsidP="00835A67">
      <w:r w:rsidRPr="005B2072">
        <w:t xml:space="preserve">Обязательное условие для увеличения вычета: включаемый в него объект инфраструктуры должен быть включен в договор о комплексном освоении территории. </w:t>
      </w:r>
    </w:p>
    <w:p w:rsidR="00835A67" w:rsidRPr="005B2072" w:rsidRDefault="00835A67" w:rsidP="00835A67"/>
    <w:p w:rsidR="00835A67" w:rsidRPr="005B2072" w:rsidRDefault="00835A67" w:rsidP="00835A67">
      <w:r w:rsidRPr="005B2072">
        <w:t>По аналогии с НДФЛ при выплате доходов, облагаемых налогом на прибыль у источника, иностранной фирме из страны, ратифицировавшей Конвенцию о противодействии размыванию налоговой базы, необходимо учитывать положения этого многостороннего документа.</w:t>
      </w:r>
    </w:p>
    <w:p w:rsidR="00835A67" w:rsidRPr="005B2072" w:rsidRDefault="00835A67" w:rsidP="00835A67"/>
    <w:p w:rsidR="00835A67" w:rsidRPr="005B2072" w:rsidRDefault="00444F2D" w:rsidP="00835A67">
      <w:r w:rsidRPr="005B2072">
        <w:t>В 2020 году организации при расчете облагаемой базы для налога на прибыль в составе внереализационных расходов смогут учитывать стоимость социальных объектов, переданных в отчетном периоде безвозмездно в государственную или муниципальную собственность (210-ФЗ). В законе 211-ФЗ предусмотрены льготы для региональных операторов по обращению с твердыми коммунальными отходами:</w:t>
      </w:r>
    </w:p>
    <w:p w:rsidR="00444F2D" w:rsidRPr="005B2072" w:rsidRDefault="00444F2D" w:rsidP="00B20FC9">
      <w:pPr>
        <w:pStyle w:val="a4"/>
        <w:numPr>
          <w:ilvl w:val="0"/>
          <w:numId w:val="8"/>
        </w:numPr>
        <w:ind w:left="0" w:firstLine="0"/>
      </w:pPr>
      <w:r w:rsidRPr="005B2072">
        <w:t>регионам РФ дано право устанавливать для организаций, обладающих этим статусом, нулевые ставки налога на прибыль, подлежащего перечислению в бюджет субъекта РФ;</w:t>
      </w:r>
    </w:p>
    <w:p w:rsidR="0003407D" w:rsidRPr="005B2072" w:rsidRDefault="00444F2D" w:rsidP="00B20FC9">
      <w:pPr>
        <w:pStyle w:val="a4"/>
        <w:numPr>
          <w:ilvl w:val="0"/>
          <w:numId w:val="8"/>
        </w:numPr>
        <w:ind w:left="0" w:firstLine="0"/>
      </w:pPr>
      <w:r w:rsidRPr="005B2072">
        <w:t>если региональные власти приняли решение, о котором говорится в предыдущем пунк</w:t>
      </w:r>
      <w:r w:rsidR="0003407D" w:rsidRPr="005B2072">
        <w:t>те, ставка налога, перечисляемого</w:t>
      </w:r>
      <w:r w:rsidRPr="005B2072">
        <w:t xml:space="preserve"> в федеральный бюджет, тоже принимает нулевое значение.</w:t>
      </w:r>
    </w:p>
    <w:p w:rsidR="00475318" w:rsidRPr="005B2072" w:rsidRDefault="0003407D" w:rsidP="00475318">
      <w:r w:rsidRPr="005B2072">
        <w:lastRenderedPageBreak/>
        <w:t>Эти льготы действуют по отношению к прибыли, полученной в рамках договора на оказание услуг по обращению с ТКО.</w:t>
      </w:r>
      <w:r w:rsidR="00444F2D" w:rsidRPr="005B2072">
        <w:t xml:space="preserve"> </w:t>
      </w:r>
    </w:p>
    <w:p w:rsidR="00475318" w:rsidRPr="005B2072" w:rsidRDefault="00475318" w:rsidP="00475318">
      <w:pPr>
        <w:pStyle w:val="2"/>
        <w:rPr>
          <w:b w:val="0"/>
        </w:rPr>
      </w:pPr>
      <w:r w:rsidRPr="005B2072">
        <w:rPr>
          <w:b w:val="0"/>
        </w:rPr>
        <w:t>Изменения по налогу на имущество организаций</w:t>
      </w:r>
    </w:p>
    <w:p w:rsidR="0003407D" w:rsidRPr="005B2072" w:rsidRDefault="0003407D" w:rsidP="0003407D">
      <w:r w:rsidRPr="005B2072">
        <w:t>В</w:t>
      </w:r>
      <w:r w:rsidR="00073535" w:rsidRPr="005B2072">
        <w:t xml:space="preserve"> соответствии с поправками, внесенными в НК РФ законом 63-ФЗ от 15.04.2019 года, в</w:t>
      </w:r>
      <w:r w:rsidRPr="005B2072">
        <w:t xml:space="preserve"> 2020 году будут отменены ежеквартальные авансовые расчеты по налогу на имущество организаций. Начиная с отчета за 2019 год, можно будет подавать единую декларацию по всем объектам недвижимости, находящимся на территориях разных ИФНС. </w:t>
      </w:r>
      <w:r w:rsidR="00FB0908" w:rsidRPr="005B2072">
        <w:t xml:space="preserve">При этом должны выполняться следующие условия: </w:t>
      </w:r>
    </w:p>
    <w:p w:rsidR="00FB0908" w:rsidRPr="005B2072" w:rsidRDefault="00FB0908" w:rsidP="00B20FC9">
      <w:pPr>
        <w:pStyle w:val="a4"/>
        <w:numPr>
          <w:ilvl w:val="0"/>
          <w:numId w:val="9"/>
        </w:numPr>
        <w:ind w:left="0" w:firstLine="0"/>
      </w:pPr>
      <w:r w:rsidRPr="005B2072">
        <w:t>представлено уведомление о подаче единой декларации;</w:t>
      </w:r>
    </w:p>
    <w:p w:rsidR="00FB0908" w:rsidRPr="005B2072" w:rsidRDefault="00FB0908" w:rsidP="00B20FC9">
      <w:pPr>
        <w:pStyle w:val="a4"/>
        <w:numPr>
          <w:ilvl w:val="0"/>
          <w:numId w:val="9"/>
        </w:numPr>
        <w:ind w:left="0" w:firstLine="0"/>
      </w:pPr>
      <w:r w:rsidRPr="005B2072">
        <w:t>расчет налога производится, исходя из среднегодовой стоимости;</w:t>
      </w:r>
    </w:p>
    <w:p w:rsidR="00FB0908" w:rsidRPr="005B2072" w:rsidRDefault="00FB0908" w:rsidP="00B20FC9">
      <w:pPr>
        <w:pStyle w:val="a4"/>
        <w:numPr>
          <w:ilvl w:val="0"/>
          <w:numId w:val="9"/>
        </w:numPr>
        <w:ind w:left="0" w:firstLine="0"/>
      </w:pPr>
      <w:r w:rsidRPr="005B2072">
        <w:t>все объекты расположены на территории одного субъекта РФ;</w:t>
      </w:r>
    </w:p>
    <w:p w:rsidR="00FB0908" w:rsidRPr="005B2072" w:rsidRDefault="00FB0908" w:rsidP="00B20FC9">
      <w:pPr>
        <w:pStyle w:val="a4"/>
        <w:numPr>
          <w:ilvl w:val="0"/>
          <w:numId w:val="9"/>
        </w:numPr>
        <w:ind w:left="0" w:firstLine="0"/>
      </w:pPr>
      <w:r w:rsidRPr="005B2072">
        <w:t>налог не должен распределяться в местные бюджеты на основании утвержденных нормативов.</w:t>
      </w:r>
    </w:p>
    <w:p w:rsidR="0095141A" w:rsidRPr="005B2072" w:rsidRDefault="00FB0908" w:rsidP="00475318">
      <w:r w:rsidRPr="005B2072">
        <w:t>В письме ФНС от 12.07.2019 года № БС-4-21/13701</w:t>
      </w:r>
      <w:r w:rsidR="00073535" w:rsidRPr="005B2072">
        <w:t xml:space="preserve"> разъясняется порядок пред</w:t>
      </w:r>
      <w:r w:rsidRPr="005B2072">
        <w:t>ставления уведомления, форма которого утверждена приказом от 19.06.2019 года № ММВ-7-21/311@.</w:t>
      </w:r>
    </w:p>
    <w:p w:rsidR="0095141A" w:rsidRPr="005B2072" w:rsidRDefault="0095141A" w:rsidP="00475318"/>
    <w:p w:rsidR="00475318" w:rsidRDefault="00073535" w:rsidP="00475318">
      <w:r w:rsidRPr="005B2072">
        <w:t xml:space="preserve">Изменится в 2020 году порядок расчета авансовых платежей по налогу на имущество. В настоящее время они рассчитываются, исходя из кадастровой стоимости по состоянию на начало отчетного периода. В обновленной редакции статьи 378.2 </w:t>
      </w:r>
      <w:r w:rsidR="0095141A" w:rsidRPr="005B2072">
        <w:t xml:space="preserve">НК РФ </w:t>
      </w:r>
      <w:r w:rsidRPr="005B2072">
        <w:t xml:space="preserve">разрешено использовать в </w:t>
      </w:r>
      <w:r w:rsidR="00682C47" w:rsidRPr="005B2072">
        <w:t>расчетах кадастровую стоимость, актуальную на момент перечисления платежа.</w:t>
      </w:r>
    </w:p>
    <w:p w:rsidR="00B20FC9" w:rsidRPr="005B2072" w:rsidRDefault="00B20FC9" w:rsidP="00475318"/>
    <w:p w:rsidR="00475318" w:rsidRPr="005B2072" w:rsidRDefault="00475318" w:rsidP="00475318">
      <w:pPr>
        <w:pStyle w:val="2"/>
        <w:rPr>
          <w:b w:val="0"/>
        </w:rPr>
      </w:pPr>
      <w:r w:rsidRPr="005B2072">
        <w:rPr>
          <w:b w:val="0"/>
        </w:rPr>
        <w:t>Изменения по УСН</w:t>
      </w:r>
    </w:p>
    <w:p w:rsidR="0095141A" w:rsidRPr="005B2072" w:rsidRDefault="00341423" w:rsidP="00682C47">
      <w:r w:rsidRPr="005B2072">
        <w:t xml:space="preserve">На 2020 год коэффициент-дефлятор, применяемый для расчета лимитов по УСН, равен 1. Это означает, что перейти на упрощенную систему налогообложения смогут организации, имеющие доходы за 9 месяцев не более 112,5 млн. руб. </w:t>
      </w:r>
      <w:r w:rsidR="00EB13A0" w:rsidRPr="005B2072">
        <w:t xml:space="preserve">Организации, у которых за 2019 год доход превысит 150 млн. руб. или средняя численность окажется выше, чем 100 человек, утратят право применять УСН. </w:t>
      </w:r>
    </w:p>
    <w:p w:rsidR="0095141A" w:rsidRPr="005B2072" w:rsidRDefault="0095141A" w:rsidP="00682C47"/>
    <w:p w:rsidR="00EB13A0" w:rsidRPr="005B2072" w:rsidRDefault="00EB13A0" w:rsidP="00682C47">
      <w:r w:rsidRPr="005B2072">
        <w:t>Минфин разработал проект федерального закона, в соответствии с которым возможно сохранение права на УСН при превышении лимитов:</w:t>
      </w:r>
    </w:p>
    <w:p w:rsidR="00682C47" w:rsidRPr="005B2072" w:rsidRDefault="00EB13A0" w:rsidP="00B20FC9">
      <w:pPr>
        <w:pStyle w:val="a4"/>
        <w:numPr>
          <w:ilvl w:val="0"/>
          <w:numId w:val="10"/>
        </w:numPr>
        <w:ind w:left="0" w:firstLine="0"/>
      </w:pPr>
      <w:r w:rsidRPr="005B2072">
        <w:t>по доходам – не более, чем на 50 млн. руб.;</w:t>
      </w:r>
    </w:p>
    <w:p w:rsidR="00EB13A0" w:rsidRPr="005B2072" w:rsidRDefault="00EB13A0" w:rsidP="00B20FC9">
      <w:pPr>
        <w:pStyle w:val="a4"/>
        <w:numPr>
          <w:ilvl w:val="0"/>
          <w:numId w:val="10"/>
        </w:numPr>
        <w:ind w:left="0" w:firstLine="0"/>
      </w:pPr>
      <w:r w:rsidRPr="005B2072">
        <w:t>по численности – не более, чем на 30 человек.</w:t>
      </w:r>
    </w:p>
    <w:p w:rsidR="00475318" w:rsidRDefault="00EB13A0" w:rsidP="00475318">
      <w:r w:rsidRPr="005B2072">
        <w:t>В этом случае организации обязаны будут применять повышенные ставки налогов, предполагаемый размер которых 8% при уплате от доходов и 20% при уплате от доходов, уменьшенных на расходы.</w:t>
      </w:r>
      <w:r w:rsidR="001A0368" w:rsidRPr="005B2072">
        <w:t xml:space="preserve"> Дата вступления в силу</w:t>
      </w:r>
      <w:r w:rsidR="00B20FC9">
        <w:t xml:space="preserve"> нового закона пока неизвестна.</w:t>
      </w:r>
    </w:p>
    <w:p w:rsidR="00B20FC9" w:rsidRPr="005B2072" w:rsidRDefault="00B20FC9" w:rsidP="00475318"/>
    <w:p w:rsidR="00475318" w:rsidRPr="005B2072" w:rsidRDefault="00475318" w:rsidP="00475318">
      <w:pPr>
        <w:pStyle w:val="2"/>
        <w:rPr>
          <w:b w:val="0"/>
        </w:rPr>
      </w:pPr>
      <w:r w:rsidRPr="005B2072">
        <w:rPr>
          <w:b w:val="0"/>
        </w:rPr>
        <w:t>Изменения по земельному налогу</w:t>
      </w:r>
    </w:p>
    <w:p w:rsidR="00475318" w:rsidRPr="005B2072" w:rsidRDefault="00A17384" w:rsidP="00475318">
      <w:r w:rsidRPr="005B2072">
        <w:t>С 01.01.2020 года законом 63-ФЗ внесены поправки в НК РФ, отменяющие ст. 398. Это означает, что декларация по земельному налогу, представленная организациями-налогоплательщиками за 2019 год, будет последней. В дальнейшем перечисление обязательных платежей должно осуществляться на основании полученных уведомлений от налоговых органов.</w:t>
      </w:r>
      <w:r w:rsidR="00060D23" w:rsidRPr="005B2072">
        <w:t xml:space="preserve"> </w:t>
      </w:r>
      <w:r w:rsidR="00306073" w:rsidRPr="005B2072">
        <w:t>Еще одно изменение в налоговом законодательстве с 2020 года – установление срока</w:t>
      </w:r>
      <w:r w:rsidR="00060D23" w:rsidRPr="005B2072">
        <w:t xml:space="preserve"> </w:t>
      </w:r>
      <w:r w:rsidR="0065554F" w:rsidRPr="005B2072">
        <w:t xml:space="preserve">уплаты налога для организаций </w:t>
      </w:r>
      <w:r w:rsidR="00060D23" w:rsidRPr="005B2072">
        <w:t>не позднее 1 марта года, следующего за отчетным.</w:t>
      </w:r>
    </w:p>
    <w:p w:rsidR="0095141A" w:rsidRPr="005B2072" w:rsidRDefault="0095141A" w:rsidP="00475318"/>
    <w:p w:rsidR="00060D23" w:rsidRDefault="00060D23" w:rsidP="00475318">
      <w:r w:rsidRPr="005B2072">
        <w:lastRenderedPageBreak/>
        <w:t>Организации, имеющие основания для получения льгот по земельному налогу, должны будут подавать заявление в соответствии с приказом ФНС от 25.07.2019 года № ММВ-7-21/377@ и прикладывать к нем</w:t>
      </w:r>
      <w:r w:rsidR="001D409C">
        <w:t>у все подтверждающие документы.</w:t>
      </w:r>
    </w:p>
    <w:p w:rsidR="001D409C" w:rsidRPr="005B2072" w:rsidRDefault="001D409C" w:rsidP="00475318"/>
    <w:p w:rsidR="00475318" w:rsidRPr="005B2072" w:rsidRDefault="00475318" w:rsidP="00475318">
      <w:pPr>
        <w:pStyle w:val="2"/>
        <w:rPr>
          <w:b w:val="0"/>
        </w:rPr>
      </w:pPr>
      <w:r w:rsidRPr="005B2072">
        <w:rPr>
          <w:b w:val="0"/>
        </w:rPr>
        <w:t>Изменения по транспортному налогу</w:t>
      </w:r>
    </w:p>
    <w:p w:rsidR="00E70877" w:rsidRPr="005B2072" w:rsidRDefault="001A0368" w:rsidP="00A55B3F">
      <w:r w:rsidRPr="005B2072">
        <w:t>На основании закона 63-ФЗ</w:t>
      </w:r>
      <w:r w:rsidR="00042B13" w:rsidRPr="005B2072">
        <w:t>,</w:t>
      </w:r>
      <w:r w:rsidRPr="005B2072">
        <w:t xml:space="preserve"> с 0</w:t>
      </w:r>
      <w:r w:rsidR="00A55B3F" w:rsidRPr="005B2072">
        <w:t xml:space="preserve">1.01.2020 года из перечня объектов, </w:t>
      </w:r>
      <w:r w:rsidR="00042B13" w:rsidRPr="005B2072">
        <w:t>не</w:t>
      </w:r>
      <w:r w:rsidR="00E70877" w:rsidRPr="005B2072">
        <w:t xml:space="preserve"> </w:t>
      </w:r>
      <w:r w:rsidR="00A55B3F" w:rsidRPr="005B2072">
        <w:t>облагаемых транспортным налогом, исключены лодки весельные и моторные с двигателем, мощность которого не превышает 5 л. с. (</w:t>
      </w:r>
      <w:r w:rsidR="00042B13" w:rsidRPr="005B2072">
        <w:t xml:space="preserve">п.2 </w:t>
      </w:r>
      <w:r w:rsidR="00A55B3F" w:rsidRPr="005B2072">
        <w:t xml:space="preserve">ст.358 НК РФ). </w:t>
      </w:r>
      <w:r w:rsidR="00E70877" w:rsidRPr="005B2072">
        <w:t>Этим же нормативным актом отменено представление ежегодной декларации по транспортному налогу. Оплата должна производиться на основании уведомлений, направляемых налоговой инспекцией.</w:t>
      </w:r>
    </w:p>
    <w:p w:rsidR="00E70877" w:rsidRPr="005B2072" w:rsidRDefault="00E70877" w:rsidP="00A55B3F"/>
    <w:p w:rsidR="00A55B3F" w:rsidRPr="005B2072" w:rsidRDefault="00042B13" w:rsidP="00A55B3F">
      <w:r w:rsidRPr="005B2072">
        <w:t xml:space="preserve">Предоставление льгот осуществляется на основании заявления, форма и порядок заполнения которого утверждены в приказе ФНС от 25.07.2019 года № ММВ-7-21/377@. В ст. 361.1 </w:t>
      </w:r>
      <w:r w:rsidR="0095141A" w:rsidRPr="005B2072">
        <w:t xml:space="preserve">НК РФ </w:t>
      </w:r>
      <w:r w:rsidRPr="005B2072">
        <w:t>законом 325-ФЗ внесены дополнительные абзацы, описывающие правила работы с заявлениями:</w:t>
      </w:r>
    </w:p>
    <w:p w:rsidR="00042B13" w:rsidRPr="005B2072" w:rsidRDefault="00042B13" w:rsidP="00B20FC9">
      <w:pPr>
        <w:pStyle w:val="a4"/>
        <w:numPr>
          <w:ilvl w:val="0"/>
          <w:numId w:val="12"/>
        </w:numPr>
        <w:ind w:left="0" w:firstLine="0"/>
      </w:pPr>
      <w:r w:rsidRPr="005B2072">
        <w:t>подать заявление о предоставлении льготы можно в ИФНС или в МФЦ;</w:t>
      </w:r>
    </w:p>
    <w:p w:rsidR="00042B13" w:rsidRPr="005B2072" w:rsidRDefault="00042B13" w:rsidP="00B20FC9">
      <w:pPr>
        <w:pStyle w:val="a4"/>
        <w:numPr>
          <w:ilvl w:val="0"/>
          <w:numId w:val="12"/>
        </w:numPr>
        <w:ind w:left="0" w:firstLine="0"/>
      </w:pPr>
      <w:r w:rsidRPr="005B2072">
        <w:t>срок рассмотрения в налоговом органе – 30 дней;</w:t>
      </w:r>
    </w:p>
    <w:p w:rsidR="00E70877" w:rsidRPr="005B2072" w:rsidRDefault="00042B13" w:rsidP="00B20FC9">
      <w:pPr>
        <w:pStyle w:val="a4"/>
        <w:numPr>
          <w:ilvl w:val="0"/>
          <w:numId w:val="12"/>
        </w:numPr>
        <w:ind w:left="0" w:firstLine="0"/>
      </w:pPr>
      <w:r w:rsidRPr="005B2072">
        <w:t>по результатам рассмотрения заявителю должны быть направлены уведомление о предоставлении льготы или мотивированное сообщение об отказе.</w:t>
      </w:r>
    </w:p>
    <w:p w:rsidR="00475318" w:rsidRDefault="00E70877" w:rsidP="00475318">
      <w:r w:rsidRPr="005B2072">
        <w:t>В 325-ФЗ определен срок уплаты налога организациями – не позднее 1 марта года, следующего за отчетным. Ранее сроки для юрлиц определяли субъекты РФ.</w:t>
      </w:r>
    </w:p>
    <w:p w:rsidR="00B20FC9" w:rsidRPr="005B2072" w:rsidRDefault="00B20FC9" w:rsidP="00475318"/>
    <w:p w:rsidR="00475318" w:rsidRPr="005B2072" w:rsidRDefault="00475318" w:rsidP="00475318">
      <w:pPr>
        <w:pStyle w:val="2"/>
        <w:rPr>
          <w:b w:val="0"/>
        </w:rPr>
      </w:pPr>
      <w:r w:rsidRPr="005B2072">
        <w:rPr>
          <w:b w:val="0"/>
        </w:rPr>
        <w:t>Изменения по акцизам</w:t>
      </w:r>
    </w:p>
    <w:p w:rsidR="00060D23" w:rsidRPr="005B2072" w:rsidRDefault="00060D23" w:rsidP="00060D23">
      <w:r w:rsidRPr="005B2072">
        <w:t xml:space="preserve">С 01.01.2020 года вступает в силу федеральный закон от 29.09.2019 года 326-ФЗ, </w:t>
      </w:r>
      <w:r w:rsidR="00C54422" w:rsidRPr="005B2072">
        <w:t>вносящий корректировки в часть 2 НК РФ. Цель этого нормативного документа – совершенствование налогового контроля в области производства и оборота спирта, спиртосодержащей и алкогольной продукции. Закон устанавливает ставки акцизов на период с 2020 по 2022 год. В нем уточнен порядок:</w:t>
      </w:r>
    </w:p>
    <w:p w:rsidR="00C54422" w:rsidRPr="005B2072" w:rsidRDefault="00C54422" w:rsidP="00B20FC9">
      <w:pPr>
        <w:pStyle w:val="a4"/>
        <w:numPr>
          <w:ilvl w:val="0"/>
          <w:numId w:val="13"/>
        </w:numPr>
        <w:ind w:left="0" w:firstLine="0"/>
      </w:pPr>
      <w:r w:rsidRPr="005B2072">
        <w:t>выдачи свидетельств юрлицам, выполняющим операции с этиловым спиртом;</w:t>
      </w:r>
    </w:p>
    <w:p w:rsidR="00C54422" w:rsidRPr="005B2072" w:rsidRDefault="00C54422" w:rsidP="00B20FC9">
      <w:pPr>
        <w:pStyle w:val="a4"/>
        <w:numPr>
          <w:ilvl w:val="0"/>
          <w:numId w:val="13"/>
        </w:numPr>
        <w:ind w:left="0" w:firstLine="0"/>
      </w:pPr>
      <w:r w:rsidRPr="005B2072">
        <w:t>применения налоговых вычетов в отношении этилового спирта.</w:t>
      </w:r>
    </w:p>
    <w:p w:rsidR="00C54422" w:rsidRPr="005B2072" w:rsidRDefault="00C54422" w:rsidP="00C54422">
      <w:r w:rsidRPr="005B2072">
        <w:t xml:space="preserve">К подакцизным товарам в 326-ФЗ отнесены электронные устройства, образующие табачный пар путем нагревания табака без горения или тления. </w:t>
      </w:r>
    </w:p>
    <w:p w:rsidR="00C54422" w:rsidRPr="005B2072" w:rsidRDefault="00C54422" w:rsidP="00C54422"/>
    <w:p w:rsidR="00B26AFC" w:rsidRDefault="005A4A21" w:rsidP="00B26AFC">
      <w:r w:rsidRPr="005B2072">
        <w:t>Законом 225-ФЗ от 30.07.2019 года для организаций, вырабатывающих электроэнергию и теплоэнергию из средних дистилляторов предусмотрена возможность получения в 2020 году вычетов по акцизам. Этот нормативный акт разрешает не начислять акцизы при передаче внутри предприятия средних дистилляторов, использующихся для дальнейшего производства асфальта, серы, технического углерода, кокса, битума и др.</w:t>
      </w:r>
    </w:p>
    <w:p w:rsidR="00C245E5" w:rsidRDefault="00C245E5" w:rsidP="00B26AFC"/>
    <w:p w:rsidR="00C245E5" w:rsidRDefault="00C245E5" w:rsidP="00B26AFC"/>
    <w:p w:rsidR="00C245E5" w:rsidRDefault="00C245E5" w:rsidP="00B26AFC"/>
    <w:sectPr w:rsidR="00C245E5" w:rsidSect="001D409C">
      <w:headerReference w:type="default" r:id="rId8"/>
      <w:pgSz w:w="11906" w:h="16838"/>
      <w:pgMar w:top="709" w:right="850" w:bottom="1134" w:left="993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B5" w:rsidRDefault="00334AB5" w:rsidP="00B20FC9">
      <w:pPr>
        <w:spacing w:line="240" w:lineRule="auto"/>
      </w:pPr>
      <w:r>
        <w:separator/>
      </w:r>
    </w:p>
  </w:endnote>
  <w:endnote w:type="continuationSeparator" w:id="0">
    <w:p w:rsidR="00334AB5" w:rsidRDefault="00334AB5" w:rsidP="00B20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B5" w:rsidRDefault="00334AB5" w:rsidP="00B20FC9">
      <w:pPr>
        <w:spacing w:line="240" w:lineRule="auto"/>
      </w:pPr>
      <w:r>
        <w:separator/>
      </w:r>
    </w:p>
  </w:footnote>
  <w:footnote w:type="continuationSeparator" w:id="0">
    <w:p w:rsidR="00334AB5" w:rsidRDefault="00334AB5" w:rsidP="00B20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9C" w:rsidRPr="001D409C" w:rsidRDefault="00FF2423">
    <w:pPr>
      <w:pStyle w:val="a5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Слайд 1</w:t>
    </w:r>
  </w:p>
  <w:p w:rsidR="00C245E5" w:rsidRPr="00FF2423" w:rsidRDefault="00C245E5" w:rsidP="00FF2423">
    <w:pPr>
      <w:pStyle w:val="a5"/>
      <w:spacing w:before="3360"/>
      <w:rPr>
        <w:rFonts w:cs="Times New Roman"/>
        <w:b/>
        <w:color w:val="0070C0"/>
        <w:sz w:val="64"/>
        <w:szCs w:val="64"/>
      </w:rPr>
    </w:pPr>
    <w:r w:rsidRPr="00FF2423">
      <w:rPr>
        <w:rFonts w:cs="Times New Roman"/>
        <w:b/>
        <w:color w:val="0070C0"/>
        <w:sz w:val="64"/>
        <w:szCs w:val="64"/>
      </w:rPr>
      <w:t xml:space="preserve">ГОДОВОЙ ОТЧЕТ </w:t>
    </w:r>
    <w:r w:rsidR="00FF2423" w:rsidRPr="00FF2423">
      <w:rPr>
        <w:rFonts w:cs="Times New Roman"/>
        <w:b/>
        <w:color w:val="0070C0"/>
        <w:sz w:val="64"/>
        <w:szCs w:val="64"/>
      </w:rPr>
      <w:t xml:space="preserve"> -  </w:t>
    </w:r>
    <w:r w:rsidRPr="00FF2423">
      <w:rPr>
        <w:rFonts w:cs="Times New Roman"/>
        <w:b/>
        <w:color w:val="0070C0"/>
        <w:sz w:val="64"/>
        <w:szCs w:val="64"/>
      </w:rPr>
      <w:t>2019</w:t>
    </w:r>
  </w:p>
  <w:p w:rsidR="00C245E5" w:rsidRPr="00FF2423" w:rsidRDefault="00FF2423">
    <w:pPr>
      <w:pStyle w:val="a5"/>
      <w:rPr>
        <w:rFonts w:cs="Times New Roman"/>
        <w:b/>
        <w:color w:val="0070C0"/>
        <w:sz w:val="64"/>
        <w:szCs w:val="64"/>
      </w:rPr>
    </w:pPr>
    <w:r w:rsidRPr="00FF2423">
      <w:rPr>
        <w:rFonts w:cs="Times New Roman"/>
        <w:b/>
        <w:color w:val="0070C0"/>
        <w:sz w:val="64"/>
        <w:szCs w:val="64"/>
      </w:rPr>
      <w:t>2020-й ГОД БУХГАЛТЕРА</w:t>
    </w:r>
  </w:p>
  <w:p w:rsidR="00C245E5" w:rsidRDefault="00C245E5">
    <w:pPr>
      <w:pStyle w:val="a5"/>
      <w:rPr>
        <w:rFonts w:cs="Times New Roman"/>
        <w:sz w:val="52"/>
        <w:szCs w:val="52"/>
      </w:rPr>
    </w:pPr>
  </w:p>
  <w:p w:rsidR="00FF2423" w:rsidRDefault="00FF2423">
    <w:pPr>
      <w:pStyle w:val="a5"/>
      <w:rPr>
        <w:rFonts w:cs="Times New Roman"/>
        <w:sz w:val="52"/>
        <w:szCs w:val="52"/>
      </w:rPr>
    </w:pPr>
  </w:p>
  <w:p w:rsidR="00FF2423" w:rsidRDefault="00FF2423">
    <w:pPr>
      <w:pStyle w:val="a5"/>
      <w:rPr>
        <w:rFonts w:cs="Times New Roman"/>
        <w:sz w:val="52"/>
        <w:szCs w:val="52"/>
      </w:rPr>
    </w:pPr>
  </w:p>
  <w:p w:rsidR="00FF2423" w:rsidRPr="00C245E5" w:rsidRDefault="00FF2423">
    <w:pPr>
      <w:pStyle w:val="a5"/>
      <w:rPr>
        <w:rFonts w:cs="Times New Roman"/>
        <w:sz w:val="52"/>
        <w:szCs w:val="52"/>
      </w:rPr>
    </w:pPr>
  </w:p>
  <w:p w:rsidR="00C245E5" w:rsidRPr="00FF2423" w:rsidRDefault="00C245E5">
    <w:pPr>
      <w:pStyle w:val="a5"/>
      <w:rPr>
        <w:rFonts w:cs="Times New Roman"/>
        <w:b/>
        <w:color w:val="FF0000"/>
        <w:sz w:val="52"/>
        <w:szCs w:val="52"/>
      </w:rPr>
    </w:pPr>
    <w:r w:rsidRPr="00FF2423">
      <w:rPr>
        <w:rFonts w:cs="Times New Roman"/>
        <w:b/>
        <w:color w:val="FF0000"/>
        <w:sz w:val="52"/>
        <w:szCs w:val="52"/>
      </w:rPr>
      <w:t>ЗНАТЬ РИСКИ</w:t>
    </w:r>
  </w:p>
  <w:p w:rsidR="00C245E5" w:rsidRPr="00FF2423" w:rsidRDefault="00C245E5" w:rsidP="00C245E5">
    <w:pPr>
      <w:pStyle w:val="a5"/>
      <w:ind w:left="993"/>
      <w:rPr>
        <w:rFonts w:cs="Times New Roman"/>
        <w:b/>
        <w:color w:val="FFC000"/>
        <w:sz w:val="52"/>
        <w:szCs w:val="52"/>
      </w:rPr>
    </w:pPr>
    <w:r w:rsidRPr="00FF2423">
      <w:rPr>
        <w:rFonts w:cs="Times New Roman"/>
        <w:b/>
        <w:color w:val="FFC000"/>
        <w:sz w:val="52"/>
        <w:szCs w:val="52"/>
      </w:rPr>
      <w:t>БЫТЬ В КУРСЕ</w:t>
    </w:r>
  </w:p>
  <w:p w:rsidR="00C245E5" w:rsidRDefault="00FF2423" w:rsidP="00FF2423">
    <w:pPr>
      <w:pStyle w:val="a5"/>
      <w:ind w:left="1985"/>
      <w:rPr>
        <w:rFonts w:cs="Times New Roman"/>
        <w:b/>
        <w:color w:val="00B050"/>
        <w:sz w:val="52"/>
        <w:szCs w:val="52"/>
      </w:rPr>
    </w:pPr>
    <w:r w:rsidRPr="00FF2423">
      <w:rPr>
        <w:rFonts w:cs="Times New Roman"/>
        <w:b/>
        <w:color w:val="00B050"/>
        <w:sz w:val="52"/>
        <w:szCs w:val="52"/>
      </w:rPr>
      <w:t>ПРИНИМАТЬ РЕШЕНИЯ</w:t>
    </w:r>
  </w:p>
  <w:p w:rsidR="00FF2423" w:rsidRDefault="00FF2423" w:rsidP="00FF2423">
    <w:pPr>
      <w:pStyle w:val="a5"/>
      <w:spacing w:before="1800"/>
      <w:ind w:left="1985"/>
      <w:rPr>
        <w:rFonts w:cs="Times New Roman"/>
        <w:b/>
        <w:color w:val="0070C0"/>
        <w:sz w:val="52"/>
        <w:szCs w:val="52"/>
      </w:rPr>
    </w:pPr>
    <w:r>
      <w:rPr>
        <w:rFonts w:cs="Times New Roman"/>
        <w:b/>
        <w:color w:val="0070C0"/>
        <w:sz w:val="52"/>
        <w:szCs w:val="52"/>
      </w:rPr>
      <w:t>Курс повышения компетентности</w:t>
    </w:r>
  </w:p>
  <w:p w:rsidR="00FF2423" w:rsidRPr="00FF2423" w:rsidRDefault="00FF2423" w:rsidP="00FF2423">
    <w:pPr>
      <w:pStyle w:val="a5"/>
      <w:ind w:left="1985"/>
      <w:rPr>
        <w:rFonts w:cs="Times New Roman"/>
        <w:b/>
        <w:color w:val="0070C0"/>
        <w:spacing w:val="-20"/>
        <w:sz w:val="52"/>
        <w:szCs w:val="52"/>
      </w:rPr>
    </w:pPr>
    <w:r w:rsidRPr="00FF2423">
      <w:rPr>
        <w:rFonts w:cs="Times New Roman"/>
        <w:b/>
        <w:color w:val="0070C0"/>
        <w:spacing w:val="-2"/>
        <w:sz w:val="52"/>
        <w:szCs w:val="52"/>
      </w:rPr>
      <w:t>при подготовке годового отчета на</w:t>
    </w:r>
    <w:r>
      <w:rPr>
        <w:rFonts w:cs="Times New Roman"/>
        <w:b/>
        <w:color w:val="0070C0"/>
        <w:sz w:val="52"/>
        <w:szCs w:val="52"/>
      </w:rPr>
      <w:t xml:space="preserve"> </w:t>
    </w:r>
    <w:r w:rsidRPr="00FF2423">
      <w:rPr>
        <w:rFonts w:cs="Times New Roman"/>
        <w:b/>
        <w:color w:val="0070C0"/>
        <w:spacing w:val="-20"/>
        <w:sz w:val="52"/>
        <w:szCs w:val="52"/>
      </w:rPr>
      <w:t>основе профессионального суждения</w:t>
    </w:r>
  </w:p>
  <w:p w:rsidR="00C245E5" w:rsidRPr="00C245E5" w:rsidRDefault="00C245E5" w:rsidP="00C245E5">
    <w:pPr>
      <w:pStyle w:val="a5"/>
      <w:tabs>
        <w:tab w:val="clear" w:pos="4677"/>
      </w:tabs>
      <w:rPr>
        <w:rFonts w:cs="Times New Roman"/>
        <w:sz w:val="20"/>
        <w:szCs w:val="20"/>
      </w:rPr>
    </w:pPr>
    <w:r>
      <w:rPr>
        <w:rFonts w:cs="Times New Roman"/>
        <w:sz w:val="52"/>
        <w:szCs w:val="5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073353113"/>
      <w:docPartObj>
        <w:docPartGallery w:val="Page Numbers (Top of Page)"/>
        <w:docPartUnique/>
      </w:docPartObj>
    </w:sdtPr>
    <w:sdtContent>
      <w:p w:rsidR="00C245E5" w:rsidRPr="001D409C" w:rsidRDefault="00C245E5">
        <w:pPr>
          <w:pStyle w:val="a5"/>
          <w:rPr>
            <w:rFonts w:ascii="Arial" w:hAnsi="Arial" w:cs="Arial"/>
            <w:sz w:val="22"/>
          </w:rPr>
        </w:pPr>
        <w:r w:rsidRPr="001D409C">
          <w:rPr>
            <w:rFonts w:ascii="Arial" w:hAnsi="Arial" w:cs="Arial"/>
            <w:sz w:val="22"/>
          </w:rPr>
          <w:t xml:space="preserve">Слайд </w:t>
        </w:r>
        <w:r w:rsidRPr="001D409C">
          <w:rPr>
            <w:rFonts w:ascii="Arial" w:hAnsi="Arial" w:cs="Arial"/>
            <w:sz w:val="22"/>
          </w:rPr>
          <w:fldChar w:fldCharType="begin"/>
        </w:r>
        <w:r w:rsidRPr="001D409C">
          <w:rPr>
            <w:rFonts w:ascii="Arial" w:hAnsi="Arial" w:cs="Arial"/>
            <w:sz w:val="22"/>
          </w:rPr>
          <w:instrText>PAGE   \* MERGEFORMAT</w:instrText>
        </w:r>
        <w:r w:rsidRPr="001D409C">
          <w:rPr>
            <w:rFonts w:ascii="Arial" w:hAnsi="Arial" w:cs="Arial"/>
            <w:sz w:val="22"/>
          </w:rPr>
          <w:fldChar w:fldCharType="separate"/>
        </w:r>
        <w:r w:rsidR="00B00998">
          <w:rPr>
            <w:rFonts w:ascii="Arial" w:hAnsi="Arial" w:cs="Arial"/>
            <w:noProof/>
            <w:sz w:val="22"/>
          </w:rPr>
          <w:t>16</w:t>
        </w:r>
        <w:r w:rsidRPr="001D409C">
          <w:rPr>
            <w:rFonts w:ascii="Arial" w:hAnsi="Arial" w:cs="Arial"/>
            <w:sz w:val="22"/>
          </w:rPr>
          <w:fldChar w:fldCharType="end"/>
        </w:r>
      </w:p>
    </w:sdtContent>
  </w:sdt>
  <w:p w:rsidR="00C245E5" w:rsidRPr="001D409C" w:rsidRDefault="00C245E5">
    <w:pPr>
      <w:pStyle w:val="a5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40"/>
    <w:multiLevelType w:val="hybridMultilevel"/>
    <w:tmpl w:val="E856C448"/>
    <w:lvl w:ilvl="0" w:tplc="CD668032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7AA"/>
    <w:multiLevelType w:val="hybridMultilevel"/>
    <w:tmpl w:val="A7028610"/>
    <w:lvl w:ilvl="0" w:tplc="CD668032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EC2"/>
    <w:multiLevelType w:val="hybridMultilevel"/>
    <w:tmpl w:val="E102B4B0"/>
    <w:lvl w:ilvl="0" w:tplc="CD668032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3A5"/>
    <w:multiLevelType w:val="hybridMultilevel"/>
    <w:tmpl w:val="190408A0"/>
    <w:lvl w:ilvl="0" w:tplc="CD668032">
      <w:start w:val="1"/>
      <w:numFmt w:val="bullet"/>
      <w:suff w:val="space"/>
      <w:lvlText w:val=""/>
      <w:lvlJc w:val="left"/>
      <w:pPr>
        <w:ind w:left="630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751049D"/>
    <w:multiLevelType w:val="hybridMultilevel"/>
    <w:tmpl w:val="37D8D19A"/>
    <w:lvl w:ilvl="0" w:tplc="6ABAF7CA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6F4B"/>
    <w:multiLevelType w:val="hybridMultilevel"/>
    <w:tmpl w:val="A13ABDA2"/>
    <w:lvl w:ilvl="0" w:tplc="6ABAF7CA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2B035837"/>
    <w:multiLevelType w:val="hybridMultilevel"/>
    <w:tmpl w:val="1E646658"/>
    <w:lvl w:ilvl="0" w:tplc="CD668032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F351F"/>
    <w:multiLevelType w:val="hybridMultilevel"/>
    <w:tmpl w:val="46F6A3B4"/>
    <w:lvl w:ilvl="0" w:tplc="FB2C5B8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86080"/>
    <w:multiLevelType w:val="hybridMultilevel"/>
    <w:tmpl w:val="BB4039DE"/>
    <w:lvl w:ilvl="0" w:tplc="CD668032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2076F"/>
    <w:multiLevelType w:val="hybridMultilevel"/>
    <w:tmpl w:val="AF4CA206"/>
    <w:lvl w:ilvl="0" w:tplc="FB2C5B8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24A4C"/>
    <w:multiLevelType w:val="hybridMultilevel"/>
    <w:tmpl w:val="0896BB7E"/>
    <w:lvl w:ilvl="0" w:tplc="6ABAF7CA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07281"/>
    <w:multiLevelType w:val="hybridMultilevel"/>
    <w:tmpl w:val="2D5EB302"/>
    <w:lvl w:ilvl="0" w:tplc="CD668032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56FF5"/>
    <w:multiLevelType w:val="hybridMultilevel"/>
    <w:tmpl w:val="9CA27E0A"/>
    <w:lvl w:ilvl="0" w:tplc="CD668032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F4"/>
    <w:rsid w:val="0003407D"/>
    <w:rsid w:val="00042B13"/>
    <w:rsid w:val="00045BC7"/>
    <w:rsid w:val="00060D23"/>
    <w:rsid w:val="00073535"/>
    <w:rsid w:val="000B4873"/>
    <w:rsid w:val="000E09D0"/>
    <w:rsid w:val="00107D84"/>
    <w:rsid w:val="00165BF3"/>
    <w:rsid w:val="00166E24"/>
    <w:rsid w:val="001A0368"/>
    <w:rsid w:val="001D409C"/>
    <w:rsid w:val="0020473B"/>
    <w:rsid w:val="002D65AE"/>
    <w:rsid w:val="002F0F5B"/>
    <w:rsid w:val="00306073"/>
    <w:rsid w:val="00334AB5"/>
    <w:rsid w:val="00341423"/>
    <w:rsid w:val="003E5797"/>
    <w:rsid w:val="00444F2D"/>
    <w:rsid w:val="00475318"/>
    <w:rsid w:val="004E7AA0"/>
    <w:rsid w:val="005A4A21"/>
    <w:rsid w:val="005B2072"/>
    <w:rsid w:val="005C10B8"/>
    <w:rsid w:val="00607F9D"/>
    <w:rsid w:val="006322BE"/>
    <w:rsid w:val="00650597"/>
    <w:rsid w:val="0065554F"/>
    <w:rsid w:val="006567DF"/>
    <w:rsid w:val="00682C47"/>
    <w:rsid w:val="007149F1"/>
    <w:rsid w:val="007339BC"/>
    <w:rsid w:val="00746ED6"/>
    <w:rsid w:val="00835A67"/>
    <w:rsid w:val="008868E9"/>
    <w:rsid w:val="008A56FC"/>
    <w:rsid w:val="008B072E"/>
    <w:rsid w:val="00904E11"/>
    <w:rsid w:val="009068FC"/>
    <w:rsid w:val="0092287E"/>
    <w:rsid w:val="0095141A"/>
    <w:rsid w:val="00A17384"/>
    <w:rsid w:val="00A55B3F"/>
    <w:rsid w:val="00A6517C"/>
    <w:rsid w:val="00AC1CC2"/>
    <w:rsid w:val="00AC521A"/>
    <w:rsid w:val="00B00998"/>
    <w:rsid w:val="00B04F2B"/>
    <w:rsid w:val="00B20FC9"/>
    <w:rsid w:val="00B26AFC"/>
    <w:rsid w:val="00B54F2D"/>
    <w:rsid w:val="00B86B82"/>
    <w:rsid w:val="00B95416"/>
    <w:rsid w:val="00BD20F0"/>
    <w:rsid w:val="00C245E5"/>
    <w:rsid w:val="00C360A1"/>
    <w:rsid w:val="00C54422"/>
    <w:rsid w:val="00D75B7C"/>
    <w:rsid w:val="00D91AF4"/>
    <w:rsid w:val="00DE76A5"/>
    <w:rsid w:val="00DF1145"/>
    <w:rsid w:val="00E244E5"/>
    <w:rsid w:val="00E63510"/>
    <w:rsid w:val="00E70877"/>
    <w:rsid w:val="00EB13A0"/>
    <w:rsid w:val="00F04C88"/>
    <w:rsid w:val="00F83EA1"/>
    <w:rsid w:val="00FB090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DFCC7-D10C-45DB-82D4-1B5B6783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E9"/>
    <w:pPr>
      <w:spacing w:after="0" w:line="276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E24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E24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6E24"/>
    <w:pPr>
      <w:keepNext/>
      <w:keepLines/>
      <w:spacing w:before="4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E24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166E24"/>
    <w:rPr>
      <w:rFonts w:ascii="Times New Roman" w:eastAsiaTheme="majorEastAsia" w:hAnsi="Times New Roman" w:cstheme="majorBidi"/>
      <w:b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166E24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paragraph" w:styleId="a3">
    <w:name w:val="No Spacing"/>
    <w:uiPriority w:val="1"/>
    <w:qFormat/>
    <w:rsid w:val="00B95416"/>
    <w:pPr>
      <w:spacing w:after="0" w:line="240" w:lineRule="auto"/>
      <w:jc w:val="both"/>
    </w:pPr>
    <w:rPr>
      <w:rFonts w:ascii="Times New Roman" w:eastAsia="Arial" w:hAnsi="Times New Roman" w:cs="Arial"/>
      <w:sz w:val="24"/>
      <w:lang w:val="ru" w:eastAsia="ru-RU"/>
    </w:rPr>
  </w:style>
  <w:style w:type="paragraph" w:styleId="a4">
    <w:name w:val="List Paragraph"/>
    <w:basedOn w:val="a"/>
    <w:uiPriority w:val="34"/>
    <w:qFormat/>
    <w:rsid w:val="002D65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0FC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FC9"/>
    <w:rPr>
      <w:rFonts w:ascii="Times New Roman" w:eastAsiaTheme="minorEastAsia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0F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FC9"/>
    <w:rPr>
      <w:rFonts w:ascii="Times New Roman" w:eastAsiaTheme="minorEastAsia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5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el19610202@yandex.ru</dc:creator>
  <cp:keywords/>
  <dc:description/>
  <cp:lastModifiedBy>Светлана</cp:lastModifiedBy>
  <cp:revision>4</cp:revision>
  <cp:lastPrinted>2020-01-30T07:27:00Z</cp:lastPrinted>
  <dcterms:created xsi:type="dcterms:W3CDTF">2020-01-30T06:13:00Z</dcterms:created>
  <dcterms:modified xsi:type="dcterms:W3CDTF">2020-01-30T07:29:00Z</dcterms:modified>
</cp:coreProperties>
</file>