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7572" w:rsidRPr="00765004" w:rsidRDefault="00737572" w:rsidP="00737572">
      <w:pPr>
        <w:jc w:val="center"/>
        <w:rPr>
          <w:rFonts w:ascii="Tahoma" w:hAnsi="Tahoma" w:cs="Tahoma"/>
          <w:b/>
          <w:sz w:val="22"/>
          <w:szCs w:val="22"/>
        </w:rPr>
      </w:pPr>
      <w:r w:rsidRPr="00765004">
        <w:rPr>
          <w:rFonts w:ascii="Tahoma" w:hAnsi="Tahoma" w:cs="Tahoma"/>
          <w:b/>
          <w:sz w:val="22"/>
          <w:szCs w:val="22"/>
        </w:rPr>
        <w:t>НОВЫЕ ДОКУМЕНТЫ К РАС</w:t>
      </w:r>
      <w:r>
        <w:rPr>
          <w:rFonts w:ascii="Tahoma" w:hAnsi="Tahoma" w:cs="Tahoma"/>
          <w:b/>
          <w:sz w:val="22"/>
          <w:szCs w:val="22"/>
        </w:rPr>
        <w:t>СМОТРЕНИЮ НА СЕМИНАРАХ – 2026 (4</w:t>
      </w:r>
      <w:r w:rsidRPr="00765004">
        <w:rPr>
          <w:rFonts w:ascii="Tahoma" w:hAnsi="Tahoma" w:cs="Tahoma"/>
          <w:b/>
          <w:sz w:val="22"/>
          <w:szCs w:val="22"/>
        </w:rPr>
        <w:t>)</w:t>
      </w:r>
    </w:p>
    <w:p w:rsidR="00737572" w:rsidRPr="00737572" w:rsidRDefault="00737572" w:rsidP="00737572">
      <w:pPr>
        <w:jc w:val="center"/>
        <w:rPr>
          <w:rFonts w:ascii="Tahoma" w:hAnsi="Tahoma" w:cs="Tahoma"/>
          <w:b/>
          <w:sz w:val="21"/>
          <w:szCs w:val="21"/>
        </w:rPr>
      </w:pPr>
    </w:p>
    <w:p w:rsidR="00737572" w:rsidRPr="00737572" w:rsidRDefault="00737572" w:rsidP="00737572">
      <w:pPr>
        <w:jc w:val="center"/>
        <w:rPr>
          <w:rFonts w:ascii="Tahoma" w:hAnsi="Tahoma" w:cs="Tahoma"/>
          <w:b/>
          <w:sz w:val="21"/>
          <w:szCs w:val="21"/>
        </w:rPr>
      </w:pPr>
      <w:r w:rsidRPr="00737572">
        <w:rPr>
          <w:rFonts w:ascii="Tahoma" w:hAnsi="Tahoma" w:cs="Tahoma"/>
          <w:b/>
          <w:sz w:val="21"/>
          <w:szCs w:val="21"/>
        </w:rPr>
        <w:t>Общие вопросы</w:t>
      </w:r>
    </w:p>
    <w:p w:rsidR="004F0AC1" w:rsidRPr="00737572" w:rsidRDefault="004F0AC1">
      <w:pPr>
        <w:rPr>
          <w:rFonts w:ascii="Tahoma" w:hAnsi="Tahoma"/>
          <w:sz w:val="21"/>
          <w:szCs w:val="21"/>
        </w:rPr>
      </w:pPr>
    </w:p>
    <w:tbl>
      <w:tblPr>
        <w:tblW w:w="0" w:type="auto"/>
        <w:tblLayout w:type="fixed"/>
        <w:tblLook w:val="04A0" w:firstRow="1" w:lastRow="0" w:firstColumn="1" w:lastColumn="0" w:noHBand="0" w:noVBand="1"/>
      </w:tblPr>
      <w:tblGrid>
        <w:gridCol w:w="587"/>
        <w:gridCol w:w="3800"/>
        <w:gridCol w:w="2000"/>
        <w:gridCol w:w="1160"/>
        <w:gridCol w:w="667"/>
        <w:gridCol w:w="1074"/>
        <w:gridCol w:w="1336"/>
      </w:tblGrid>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При доказывании налогоплательщиком реальности хозяйственных операций последний не может быть лишён обоснованной налоговой выгоды</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реальность хозяйственных операций</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03.09.26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309-ЭС26-10004</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Выплата заработной платы нерезидентам наличными денежными средствами образует состав административного правонарушения, предусмотренного статьёй 15.25 КоАП РФ</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15.25 КоАП РФ, нерезидент, заработная плата, наличные денежные средства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17.03.26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302-АФ26-43</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Осуществление расчётов наличными денежными средствами с нерезидентами образует состав административного правонарушения, предусмотренного статьёй 15.25 КоАП РФ</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15.25 КоАП РФ, нерезидент, расчёты наличными денежными средствами</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24.07.26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5-АД26-29-К2</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4</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Селекторные совещания перед рабочим днём также являются рабочим временем, подлежащим оплате в общеустановленном порядке, поскольку связаны с выполнением работником своих обязанностей</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133 ТК РФ, заработная плата, сверхурочная работа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7-й КСОЮ</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13.08.26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88-11508/2026</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5</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Разъяснены отдельные вопросы применения ФСБУ 9/2025, регулирующего бухгалтерский учёт доходов</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ФСБУ 9/2025, доходы</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Информационное сообщение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11.09.25</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ИС-учёт-59</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6</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Разъяснены отдельные вопросы применения ФСБУ 10/2026, регулирующего бухгалтерский учёт расходов</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ФСБУ 10/2026, расходы</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Информационное сообщение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06.07.26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ИС-учёт-66</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7</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Налоговый орган при налоговой проверке обязан исследовать не только обстоятельства, приводящие к доначислению налогов, но и приводящие к уменьшению налогов, даже если таковые не были известны ранее</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статья 100 НК РФ, статья 101 НК РФ, налоговая реконструкция</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01.09.26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307-ЭС26-10587</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8</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Ежемесячная премия подлежит выплате работнику, если таковая локальными трудовыми актами предусмотрена в качестве одной из составляющих заработной платы, но не может относится на исключительное усмотрение работодателя</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136 ТК РФ, статья 191 ТК РФ</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6-й КСОЮ</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26.02.26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88-3386/2026</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9</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Утверждены правила рассмотрение материалов налоговой проверки по ВКС</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101 НК РФ, рассмотрение материалов налоговой проверки по ВКС</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Приказ</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ФНС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11.08.26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ЕД-1-2/567</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lastRenderedPageBreak/>
              <w:t>10</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Утверждены жизненные ситуации, подлежащие учёту в качестве смягчающих обстоятельств при смягчении размера налоговой ответственности в виде штрафа</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114 НК РФ, смягчение ответственности</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Приказ</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ФНС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24.07.26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ЕД-1-7/514</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11</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Отправка файлов, содержащих информацию работодателя ограниченного доступа, на личный почтовый ящик есть способ разглашения таковой информации, что может быть основанием для увольнения сотрудника (см. Постановление КС РФ от 26.10.2017 года №25-П)</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81 ТК РФ, статья 192 ТК РФ, коммерческая тайна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3-й КСОЮ</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15.06.26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88-10469/2026</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12</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Признание физического лица банкротом не исключает возможности взыскания с него налоговых обязательств</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Закон о банкротстве, погашение обязательств, недоимка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 xml:space="preserve">ВС РФ </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24.08.26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304-ЭС26-8809</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13</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Схема дробление бизнеса доказана налоговым органом посредством анализа использования ресурсов организаций, действующих в рамках единого технологического процесс (перевозка грузов)</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дробление бизнеса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24.08.26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308-ЭС26-8793</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14</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Сделки, направленные на получение необоснованной налоговой выгоды, противны нормам морали, вследствие чего ничтожны, что даёт возможность взыскания всего полученного по таким сделкам в доход государства</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статья 169 НК РФ, необоснованная налоговая выгода, ничтожность сделки, нормы морали</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КС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08.06.04</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225-О</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15</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Сделки, направленные на получение необоснованной налоговой выгоды, противны нормам морали, вследствие чего ничтожны, что даёт возможность взыскания всего полученного по таким сделкам в доход государства</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статья 169 НК РФ, необоснованная налоговая выгода, ничтожность сделки, нормы морали</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КС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25.07.01</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138-О</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16</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Гарантии и свободы, установленные законодательством о налогах и сборах (в том числе и срок давности), распространяются только на добросовестных участников налоговых правоотношений</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статья 113 НК РФ, недобросовестность</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Постановление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КС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14.07.05</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9-П</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17</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Гарантии и свободы, установленные законодательством о налогах и сборах (в том числе - недопущение повторного взыскания налога), распространяются только на добросовестных участников налоговых правоотношений</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статья 169 НК РФ, необоснованная налоговая выгода, ничтожность сделки, нормы морали</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Постановление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КС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12.10.98</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24-П</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lastRenderedPageBreak/>
              <w:t>18</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Гарантии и свободы, установленные законодательством о налогах и сборах (в том числе и срок давности), распространяются только на добросовестных участников налоговых правоотношений</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статья 113 НК РФ, недобросовестность</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КС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18.01.05</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№36-О</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19</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Сделки, направленные на получение необоснованной налоговой выгоды, противны нормам морали, вследствие чего ничтожны, что даёт возможность взыскания всего полученного по таким сделкам в доход государства</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статья 169 НК РФ, необоснованная налоговая выгода, ничтожность сделки, нормы морали</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Постановление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1-й ААС</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22.04.24</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А79-4318/2023</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20</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Сделки, направленные на получение необоснованной налоговой выгоды, противны нормам морали, вследствие чего ничтожны, что даёт возможность взыскания всего полученного по таким сделкам в доход государства</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статья 169 НК РФ, необоснованная налоговая выгода, ничтожность сделки, нормы морали</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Решение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АС Ульяновской области</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21.02.25</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А72-13241/2024</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21</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Сделки, направленные на получение необоснованной налоговой выгоды, противны нормам морали, вследствие чего ничтожны, что даёт возможность взыскания всего полученного по таким сделкам в доход государства</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статья 169 НК РФ, необоснованная налоговая выгода, ничтожность сделки, нормы морали</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Постановление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ФАС ПО</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01.11.25</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А65-1815/2025</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22</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Если договором предусмотрена возможность изменения цены договора из-за размера налоговых обязательств продавца, то такая возможность должна реализовываться только через соглашение сторон</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423 ГК РФ, статья 424 ГК РФ, цена договора, НДС</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Постановление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ФАС ЦО</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23.07.26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А48-9068/2025</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23</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Возможность снижения квартальной премии должна быть предусмотрена локальными трудовыми актами, такое снижение должно быть обоснованным и ограниченным (не более 20%)</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133 ТК РФ, заработная плата, стимулирующая выплата, ежеквартальная премия</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Роструд</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29.07.26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ТЗ/5709-6-1</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24</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Хотя выставление счёт-фактуры и является публично-правовой обязанность, но при его невыставлении гражданско-правовое обязательство не может считаться надлежащим образом исполненным</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309 ГК РФ, статья 312 ГК РФ, надлежащее исполнение обязательства, счёт-фактура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Постановление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ФАС СЗО</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16.04.26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А42-4377/2025</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25</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 xml:space="preserve">Принятие судом в отношении решения налогового органа обеспечительных мер не препятствует направлению материалов налоговой проверки в </w:t>
            </w:r>
            <w:r w:rsidRPr="00737572">
              <w:rPr>
                <w:rFonts w:ascii="Tahoma" w:hAnsi="Tahoma"/>
                <w:color w:val="000000" w:themeColor="dark1"/>
                <w:sz w:val="21"/>
                <w:szCs w:val="21"/>
              </w:rPr>
              <w:lastRenderedPageBreak/>
              <w:t>следственные органы для принятия процессуального решения</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lastRenderedPageBreak/>
              <w:t>Статья 32 НК РФ, статья 199 УК РФ, обеспечительные меры</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Постановление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ФАС ЦО</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29.07.26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А48-2458/2025</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lastRenderedPageBreak/>
              <w:t>26</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Манипулирование стоимость имущества, внесённого в уставный капитал, при его последующей продаже взаимозависимому лицу есть злоупотребление правом</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взнос в уставный капитал, занижение цены продажи, взаимозависимые лица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10.08.26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304-ЭС26-8510</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27</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Фальсификация объёмов продажи товаров и занижение цен последних является способом получения необоснованной налоговой выгоды</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занижение цен, завышение объёмов продажи</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10.08.26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309-ЭС26-7455</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28</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Налоговый орган доказал применение налогоплательщиком схемы дробления бизнеса при отсутствии разумных экономических оснований для структурирования бизнеса</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дробление бизнеса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27.02.26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310-ЭС26-486</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29</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Налоговый орган не доказал применение налогоплательщиком схемы дробления бизнеса, поскольку имели место разумные экономические основания для структурирования бизнеса</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дробление бизнеса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 xml:space="preserve">Постановление </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ФАС ЦО</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02.02.26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А84-4870/2024</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Налоговый орган не доказал применение налогоплательщиком схемы дробления бизнеса, поскольку имели место разумные экономические основания для структурирования бизнеса</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дробление бизнеса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 xml:space="preserve">Постановление </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ФАС УО</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25.02.26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А76-26323/2023</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31</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Налоговый орган не доказал применение налогоплательщиком схемы дробления бизнеса, поскольку имели место разумные экономические основания для структурирования бизнеса</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дробление бизнеса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 xml:space="preserve">Постановление </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ФАС СЗО</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19.03.26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А13-21611/2017</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32</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Налоговый орган доказал применение схемы дробления бизнеса, проведя выездные налоговые проверки в отношении всех участников налоговой схемы</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дробление бизнеса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Постановление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ФАС ДО</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17.03.26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Ф03-347/2026</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33</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Налоговый орган не доказал получение необоснованной налоговой выгоды при взаимоотношениях с контрагентами</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необоснованная налоговая выгода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Постановление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ФАС МО</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08.06.26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А40-238992/2023</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34</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Заключение договора лицом, освобождённым от уплаты НДС, с включением в сумму последнего НДС, возлагает на последнего обязанность по уплате такового и предоставлению контрагенту соответствующего счёт-фактуры</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423 ГК РФ, статья 424 ГК РФ, цена сделки, НДС</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04.08.26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301-ЭС26-7865</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35</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 xml:space="preserve">Изменение цены сделки или количества отгруженного товара после отгрузки предмета сделки есть основание для отражения новых </w:t>
            </w:r>
            <w:r w:rsidRPr="00737572">
              <w:rPr>
                <w:rFonts w:ascii="Tahoma" w:hAnsi="Tahoma"/>
                <w:color w:val="000000" w:themeColor="dark1"/>
                <w:sz w:val="21"/>
                <w:szCs w:val="21"/>
              </w:rPr>
              <w:lastRenderedPageBreak/>
              <w:t>фактов хозяйственной жизни в периоде таковых изменений</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lastRenderedPageBreak/>
              <w:t xml:space="preserve">Статья 54 НК РФ, изменение договора, </w:t>
            </w:r>
            <w:r w:rsidRPr="00737572">
              <w:rPr>
                <w:rFonts w:ascii="Tahoma" w:hAnsi="Tahoma"/>
                <w:color w:val="000000" w:themeColor="dark1"/>
                <w:sz w:val="21"/>
                <w:szCs w:val="21"/>
              </w:rPr>
              <w:lastRenderedPageBreak/>
              <w:t>исправление ошибок</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lastRenderedPageBreak/>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 xml:space="preserve">ВС РФ </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27.04.26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305-ЭС26-3951</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lastRenderedPageBreak/>
              <w:t>36</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Налоговый орган доказал применение налогоплательщиком схемы дробления бизнеса при отсутствии разумных экономических оснований для структурирования бизнеса</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дробление бизнеса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27.07.26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308-ЭС26-8221</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37</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Налоговый орган доказал применение налогоплательщиком схемы дробления бизнеса при отсутствии разумных экономических оснований для структурирования бизнеса</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54.1 НК РФ, дробление бизнеса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28.07.26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308-ЭС26-8345</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38</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Изменение цены сделки после выполнения работ есть основание для исправления ошибок, допущенных в прошлых периодах</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 НК РФ, изменение договора, исправление ошибок</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27.05.26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03-03-06/1/44663</w:t>
            </w:r>
          </w:p>
        </w:tc>
      </w:tr>
      <w:tr w:rsidR="004F0AC1" w:rsidRPr="00737572" w:rsidTr="00737572">
        <w:tc>
          <w:tcPr>
            <w:tcW w:w="58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39</w:t>
            </w:r>
          </w:p>
        </w:tc>
        <w:tc>
          <w:tcPr>
            <w:tcW w:w="38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Изменение цены сделки после отгрузки предмета сделки есть основание для исправления ошибок, допущенных в прошлых периодах</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54 НК РФ, изменение договора, исправление ошибок</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07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26.05.26</w:t>
            </w:r>
          </w:p>
        </w:tc>
        <w:tc>
          <w:tcPr>
            <w:tcW w:w="1336"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03-03-07/44157</w:t>
            </w:r>
          </w:p>
        </w:tc>
      </w:tr>
    </w:tbl>
    <w:p w:rsidR="004F0AC1" w:rsidRPr="00737572" w:rsidRDefault="004F0AC1">
      <w:pPr>
        <w:rPr>
          <w:rFonts w:ascii="Tahoma" w:hAnsi="Tahoma"/>
          <w:sz w:val="21"/>
          <w:szCs w:val="21"/>
        </w:rPr>
      </w:pPr>
    </w:p>
    <w:p w:rsidR="00737572" w:rsidRPr="00737572" w:rsidRDefault="00737572">
      <w:pPr>
        <w:rPr>
          <w:rFonts w:ascii="Tahoma" w:hAnsi="Tahoma"/>
          <w:sz w:val="21"/>
          <w:szCs w:val="21"/>
        </w:rPr>
      </w:pPr>
    </w:p>
    <w:p w:rsidR="004F0AC1" w:rsidRPr="00737572" w:rsidRDefault="00737572">
      <w:pPr>
        <w:jc w:val="center"/>
        <w:rPr>
          <w:rFonts w:ascii="Tahoma" w:hAnsi="Tahoma"/>
          <w:b/>
          <w:sz w:val="21"/>
          <w:szCs w:val="21"/>
        </w:rPr>
      </w:pPr>
      <w:r w:rsidRPr="00737572">
        <w:rPr>
          <w:rFonts w:ascii="Tahoma" w:hAnsi="Tahoma"/>
          <w:b/>
          <w:sz w:val="21"/>
          <w:szCs w:val="21"/>
        </w:rPr>
        <w:t>НДС</w:t>
      </w:r>
    </w:p>
    <w:p w:rsidR="004F0AC1" w:rsidRPr="00737572" w:rsidRDefault="004F0AC1">
      <w:pPr>
        <w:rPr>
          <w:rFonts w:ascii="Tahoma" w:hAnsi="Tahoma"/>
          <w:sz w:val="21"/>
          <w:szCs w:val="21"/>
        </w:rPr>
      </w:pPr>
    </w:p>
    <w:tbl>
      <w:tblPr>
        <w:tblW w:w="0" w:type="auto"/>
        <w:tblLayout w:type="fixed"/>
        <w:tblLook w:val="04A0" w:firstRow="1" w:lastRow="0" w:firstColumn="1" w:lastColumn="0" w:noHBand="0" w:noVBand="1"/>
      </w:tblPr>
      <w:tblGrid>
        <w:gridCol w:w="594"/>
        <w:gridCol w:w="3793"/>
        <w:gridCol w:w="2000"/>
        <w:gridCol w:w="1160"/>
        <w:gridCol w:w="667"/>
        <w:gridCol w:w="1134"/>
        <w:gridCol w:w="1321"/>
      </w:tblGrid>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Если объект недвижимости принадлежит нескольким собственникам, то возмещение НДС в отношении работ по содержанию такого объекта недвижимости должно осуществляться в соответствующих долях</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Статья 171 НК РФ, статья 172 НК РФ, статья 249 ГК РФ, долевая собственность</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04.09.26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310-ЭС26-10832</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Используемые сторонами договора некие расчётные величины (баллы) для начисления скидок есть экономически обоснованный метод исчисления выручки и вознаграждения каждой из сторон договора, которые должны определяться после применения указанных механизмов</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Статья 146 НК РФ, статья 154 НК РФ, баллы, скидки</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ФНС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02.09.26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СД-35-3/11693</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В отношении транспортно-экспедиционных услуг по организации перевозки по территории Российской Федерации в рамках международной перевозки не может применяться ставка НДС в размере 0%</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Статья 164 НК РФ, ставка 0%, транспортно-экспедиционные услуги</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 xml:space="preserve">МФ РФ </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24.06.26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03-07-08/53661</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4</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Трёхлетний срок на возмещение НДС у налогового агента исчисляется с момента исчисления такового в отношении дохода, с которого подлежит удержанию налог</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171 НК РФ, статья 172 НК РФ, налоговый вычет, трёхлетний срок</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24.06.26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03-07-08/53653</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lastRenderedPageBreak/>
              <w:t>5</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Операции по реализации промышленных продуктов, содержащих драгоценные металлы, освобождаются от НДС (подпункт 9 пункта 3 статьи 149 НК РФ) только при условии приобретения таковых организациями, осуществляющими аффинаж или производство драгоценных металлов</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149 НК РФ, реализация драгоценных металлов, производственные отходы</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09.07.26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03-07-05/591483</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6</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Расходы организации на обеспечение работников бесплатным питанием порождают объект обложения НДС, поскольку таковая операция отвечает понятию реализации</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146 НК РФ, безвозмездная передача товаров, бесплатное питание сотрудников</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Постановление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ФАС ПО</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30.07.26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А57-6567/2025</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7</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Ввоз в Российскую Федерацию товаров, реализуемых лицом, признанным банкротом по законодательству Республики Беларусь, облагается НДС, поскольку ввоз на территорию Российской Федерации является самостоятельным объектом обложения НДС (см. Определение ВС РФ от 28.12.2015 года №309-КГ15-11310)</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146 НК РФ, Договор о ЕАЭС, ввоз товаров, банкротство</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24.08.26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301-ЭС26-3071</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8</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Хотя выставление счёт-фактуры и является публично-правовой обязанность, но при его невыставлении гражданско-правовое обязательство не может считаться надлежащим образом исполненным</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309 ГК РФ, статья 312 ГК РФ, надлежащее исполнение обязательства, счёт-фактура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Постановление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ФАС СЗО</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16.04.26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А42-4377/2025</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9</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Заключение договора лицом, освобождённым от уплаты НДС, с включением в сумму последнего НДС, возлагает на последнего обязанность по уплате такового и предоставлению контрагенту соответствующего счёт-фактуры</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423 ГК РФ, статья 424 ГК РФ, цена сделки, НДС</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04.08.26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301-ЭС26-7865</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10</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Признание сделки недействительной является основанием для корректировки налоговых обязательств сторон сделки только после фактической реституции и отражения таковой в регистрах учёта</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171 НК РФ, статья 172 НК РФ, реституция, вычет</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 xml:space="preserve">ВС РФ </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27.04.26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305-ЭС26-3951</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11</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Лицензионные платежи полностью участвуют в налоговой базе по НДС при удержании налоговым агентом НДС независимо от исполнения обязанности по уплате таможенных платежей</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148 НК РФ, статья 161 НК РФ, место реализации, налоговое агентирование, лицензионные платежи</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Постановление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Президиум ВС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17.06.26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12А/2026</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12</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 xml:space="preserve">Передача участником ПИФ имущества в ПИФ, а также передача </w:t>
            </w:r>
            <w:r w:rsidRPr="00737572">
              <w:rPr>
                <w:rFonts w:ascii="Tahoma" w:hAnsi="Tahoma"/>
                <w:color w:val="000000" w:themeColor="dark1"/>
                <w:sz w:val="21"/>
                <w:szCs w:val="21"/>
              </w:rPr>
              <w:lastRenderedPageBreak/>
              <w:t>ПИФ имущества его учредителю в счёт погашения пая признаётся реализацией на общих основаниях</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lastRenderedPageBreak/>
              <w:t xml:space="preserve">Статья 146 НК РФ, ПИФ, передача </w:t>
            </w:r>
            <w:r w:rsidRPr="00737572">
              <w:rPr>
                <w:rFonts w:ascii="Tahoma" w:hAnsi="Tahoma"/>
                <w:color w:val="000000" w:themeColor="dark1"/>
                <w:sz w:val="21"/>
                <w:szCs w:val="21"/>
              </w:rPr>
              <w:lastRenderedPageBreak/>
              <w:t>имущества в счёт пая</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lastRenderedPageBreak/>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11.06.26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03-07-11/50249</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lastRenderedPageBreak/>
              <w:t>13</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НДС по товарам (работам, услугам), которые не были использованы при применении УСН и ПСН, может быть предъявлен к возмещению из бюджета в общеустановленном порядке</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Статья 171 НК РФ, статья 172 НК РФ, УСН, ПСН, вычет</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05.05.26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03-07-11/37650</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14</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В отношении услуг по перевозке от завода до порта груза, отправляемого на экспорт, подлежит применению ставка НДС в размере 22%, поскольку таковая перевозка осуществляется между пунктами на территории Российской Федерации</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Статья 164 НК РФ, ставка 0%, ставка 22%, международная перевозка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 xml:space="preserve">МФ РФ </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20.07.26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03-07-08/62269</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15</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Экспортный характер груза определяет международный характер перевозки, что порождает обязанность применения ставки НДС в размере 0%</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 xml:space="preserve">Статья 164 НК РФ, международная перевозка, ставка 0%, ставка 22%, </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06.07.26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305-ЭС26-3472(2)</w:t>
            </w:r>
          </w:p>
        </w:tc>
      </w:tr>
    </w:tbl>
    <w:p w:rsidR="004F0AC1" w:rsidRPr="00737572" w:rsidRDefault="004F0AC1">
      <w:pPr>
        <w:rPr>
          <w:rFonts w:ascii="Tahoma" w:hAnsi="Tahoma"/>
          <w:sz w:val="21"/>
          <w:szCs w:val="21"/>
        </w:rPr>
      </w:pPr>
    </w:p>
    <w:p w:rsidR="004F0AC1" w:rsidRPr="00737572" w:rsidRDefault="004F0AC1">
      <w:pPr>
        <w:rPr>
          <w:rFonts w:ascii="Tahoma" w:hAnsi="Tahoma"/>
          <w:sz w:val="21"/>
          <w:szCs w:val="21"/>
        </w:rPr>
      </w:pPr>
    </w:p>
    <w:p w:rsidR="004F0AC1" w:rsidRPr="00737572" w:rsidRDefault="00737572">
      <w:pPr>
        <w:jc w:val="center"/>
        <w:rPr>
          <w:rFonts w:ascii="Tahoma" w:hAnsi="Tahoma"/>
          <w:b/>
          <w:sz w:val="21"/>
          <w:szCs w:val="21"/>
        </w:rPr>
      </w:pPr>
      <w:r w:rsidRPr="00737572">
        <w:rPr>
          <w:rFonts w:ascii="Tahoma" w:hAnsi="Tahoma"/>
          <w:b/>
          <w:sz w:val="21"/>
          <w:szCs w:val="21"/>
        </w:rPr>
        <w:t>НАЛОГ НА ПРИБЫЛЬ</w:t>
      </w:r>
    </w:p>
    <w:p w:rsidR="004F0AC1" w:rsidRPr="00737572" w:rsidRDefault="004F0AC1">
      <w:pPr>
        <w:rPr>
          <w:rFonts w:ascii="Tahoma" w:hAnsi="Tahoma"/>
          <w:sz w:val="21"/>
          <w:szCs w:val="21"/>
        </w:rPr>
      </w:pPr>
    </w:p>
    <w:tbl>
      <w:tblPr>
        <w:tblW w:w="0" w:type="auto"/>
        <w:tblLayout w:type="fixed"/>
        <w:tblLook w:val="04A0" w:firstRow="1" w:lastRow="0" w:firstColumn="1" w:lastColumn="0" w:noHBand="0" w:noVBand="1"/>
      </w:tblPr>
      <w:tblGrid>
        <w:gridCol w:w="594"/>
        <w:gridCol w:w="3793"/>
        <w:gridCol w:w="2000"/>
        <w:gridCol w:w="1160"/>
        <w:gridCol w:w="667"/>
        <w:gridCol w:w="1134"/>
        <w:gridCol w:w="1321"/>
      </w:tblGrid>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При определении срока полезного использования необходимо руководствоваться не только наименованием основного средства, но и его подробными техническими характеристиками с учётом условий технологического использования</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Статья 258 НК РФ, срок полезного использования, амортизационная группа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26.12.25</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03-03-06/1/126789</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При определении срока полезного использования необходимо руководствоваться не только наименованием основного средства, но и его подробными техническими характеристиками с учётом условий технологического использования</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Статья 258 НК РФ, срок полезного использования, амортизационная группа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29.04.26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03-03-06/1/43104</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Используемые сторонами договора некие расчётные величины (баллы) для начисления скидок есть экономически обоснованный метод исчисления выручки и вознаграждения каждой из сторон договора, которые должны определяться после применения указанных механизмов</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Статья 249 НК РФ, статья 250 НК РФ, баллы, скидки</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ФНС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02.09.26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СД-35-3/11693</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4</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Стоимость услуг в качестве расхода подлежит учёту по мере их фактического оказания независимо от позднего оформления соответствующих документов</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252 НК РФ, статья 272 НК РФ, статья 318 НК РФ, прямые расходы, косвенные расходы</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09.07.26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03-03-06/1/59162</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5</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 xml:space="preserve">Расходы на оплату лицензионного платежа за право использования технологии по использованию </w:t>
            </w:r>
            <w:r w:rsidRPr="00737572">
              <w:rPr>
                <w:rFonts w:ascii="Tahoma" w:hAnsi="Tahoma"/>
                <w:color w:val="000000" w:themeColor="dark1"/>
                <w:sz w:val="21"/>
                <w:szCs w:val="21"/>
              </w:rPr>
              <w:lastRenderedPageBreak/>
              <w:t>объекта основных средств, затраты на возведение которого прекращены и признаны в качестве убытков, экономически не обоснованы</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lastRenderedPageBreak/>
              <w:t xml:space="preserve">Статья 252 НК РФ, статья 265 НК РФ, статья 270 НК РФ, </w:t>
            </w:r>
            <w:r w:rsidRPr="00737572">
              <w:rPr>
                <w:rFonts w:ascii="Tahoma" w:hAnsi="Tahoma"/>
                <w:color w:val="000000" w:themeColor="dark1"/>
                <w:sz w:val="21"/>
                <w:szCs w:val="21"/>
              </w:rPr>
              <w:lastRenderedPageBreak/>
              <w:t>экономическая обоснованность расходов</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lastRenderedPageBreak/>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28.08.26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305-ЭС26-8947</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lastRenderedPageBreak/>
              <w:t>6</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После модернизации НМА амортизация начисляется по прежней норме амортизации НМА</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257 НК РФ, статья 259 НК РФ, НМА, модернизация, норма амортизации</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10.08.26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03-03-06/1/69121</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7</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Разъяснены правила определения налоговой базы по операциям с криптовалютой</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282.3 НК РФ, криптовалюта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12.08.26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03-03-06/2/70287</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8</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При выплате дохода иностранному лицу необходимо руководство-ваться нормами международного права, но только в части тех доходов, которые не упоминаются в статье 309 НК РФ</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309 НК РФ, двойное налогообложение, международ-ная перевозка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11.08.26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304-ЭС26-6784</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9</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Смена региона деятельности подразделением организации исключает возможность применения инвестиционного налогового вычета в части регионального налога на прибыль, поскольку в новом регионе капитальные вложения налогоплательщика не осуществлялись</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286.1 НК РФ, региональный инвестиционный налоговый вычет, смена региона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23.07.26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29-01-07/63774</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10</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При выплате дохода иностранному экспедитору у клиента экспедитора возникает обязанность налогового агента по налогу на доходы, поскольку договор на транспортно-экспедиционное обслуживание является смешанным договором, содержащим элементы договора международной перевозки</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309 НК РФ, статья 310 НК РФ, международная перевозка, транспортная экспедиция</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 xml:space="preserve">ВС РФ </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07.08.26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305-ЭС26-8993</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11</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Выплаты работникам, находящимся в мобилизационном резерве, пребывающих на военных сборах, не могут относится на затраты, поскольку последние не выполняют соответствующую трудовую функцию</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252 НК РФ, статья 255 НК РФ, мобилизационный резерв</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27.05.26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03-03-06/1/44640</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12</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Расходы на технологическое подключение к электросетям не включаются в стоимость соответствующих основных средств, поскольку таковые непосредственно не связаны с их приобретением</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257 НК РФ, основное средство, первоначальная стоимость основного средства, подключение к электросетям</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26.05.26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03-03-05/44398</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13</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 xml:space="preserve">Суммы индексации присуждённых штрафов (пеней, неустоек) не признаются сомнительными долгами, поскольку последние не </w:t>
            </w:r>
            <w:r w:rsidRPr="00737572">
              <w:rPr>
                <w:rFonts w:ascii="Tahoma" w:hAnsi="Tahoma"/>
                <w:color w:val="000000" w:themeColor="dark1"/>
                <w:sz w:val="21"/>
                <w:szCs w:val="21"/>
              </w:rPr>
              <w:lastRenderedPageBreak/>
              <w:t>поименованы в качестве таковых в статье 266 НК РФ</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lastRenderedPageBreak/>
              <w:t xml:space="preserve">Статья 266 НК РФ, сомнительная задолженность, присуждённые </w:t>
            </w:r>
            <w:r w:rsidRPr="00737572">
              <w:rPr>
                <w:rFonts w:ascii="Tahoma" w:hAnsi="Tahoma"/>
                <w:color w:val="000000" w:themeColor="dark1"/>
                <w:sz w:val="21"/>
                <w:szCs w:val="21"/>
              </w:rPr>
              <w:lastRenderedPageBreak/>
              <w:t>штрафы, индексация</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lastRenderedPageBreak/>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27.05.26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03-03-06/1/44575</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lastRenderedPageBreak/>
              <w:t>14</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Расходы на страхование гражданской ответственности руководителя организации за убытки, причинённые организации, могут учитываться при исчислении налога на прибыль</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263 НК РФ, страхование ответственности, руководитель организации, убытки</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 xml:space="preserve">МФ РФ </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17.06.26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03-03-06/1/51514</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15</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Право безвозмездного пользования программным обеспечением для доступа к государственным информационным системам не формирует у пользователя такового внереализационного дохода</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250 НК РФ, статья 251 НК РФ, безвозмездное пользование, программное обеспечение</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04.05.26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03-03-06/3/37558</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16</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Плата за опцион за заключение договора может быть учтена в составе расходов в целях исчисления налога на прибыль</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252 НК РФ, плата за опцион</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30.04.26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03-03-06/1/36498</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17</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Задолженность по уплате агентского вознаграждения может рассматриваться как сомнительная задолженность в рамках статьи 266 НК РФ, а по оплате возмещаемых расходов - нет</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266 НК РФ, агентский договор, агентское вознаграждение, возмещение затрат</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28.04.26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03-03-06/1/35355</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18</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Уплата налога, учитываемого в составе затрат, в излишнем размере не есть ошибка в исчислении налога на прибыль</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264 НК РФ, налог, переплата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31.03.26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03-03-06/1/26258</w:t>
            </w:r>
          </w:p>
        </w:tc>
      </w:tr>
    </w:tbl>
    <w:p w:rsidR="004F0AC1" w:rsidRPr="00737572" w:rsidRDefault="004F0AC1">
      <w:pPr>
        <w:rPr>
          <w:rFonts w:ascii="Tahoma" w:hAnsi="Tahoma"/>
          <w:sz w:val="21"/>
          <w:szCs w:val="21"/>
        </w:rPr>
      </w:pPr>
    </w:p>
    <w:p w:rsidR="004F0AC1" w:rsidRPr="00737572" w:rsidRDefault="004F0AC1">
      <w:pPr>
        <w:rPr>
          <w:rFonts w:ascii="Tahoma" w:hAnsi="Tahoma"/>
          <w:sz w:val="21"/>
          <w:szCs w:val="21"/>
        </w:rPr>
      </w:pPr>
    </w:p>
    <w:p w:rsidR="004F0AC1" w:rsidRPr="00737572" w:rsidRDefault="00737572">
      <w:pPr>
        <w:jc w:val="center"/>
        <w:rPr>
          <w:rFonts w:ascii="Tahoma" w:hAnsi="Tahoma"/>
          <w:b/>
          <w:sz w:val="21"/>
          <w:szCs w:val="21"/>
        </w:rPr>
      </w:pPr>
      <w:r w:rsidRPr="00737572">
        <w:rPr>
          <w:rFonts w:ascii="Tahoma" w:hAnsi="Tahoma"/>
          <w:b/>
          <w:sz w:val="21"/>
          <w:szCs w:val="21"/>
        </w:rPr>
        <w:t>СТРАХОВЫЕ ВЗНОСЫ</w:t>
      </w:r>
    </w:p>
    <w:p w:rsidR="004F0AC1" w:rsidRPr="00737572" w:rsidRDefault="004F0AC1">
      <w:pPr>
        <w:rPr>
          <w:rFonts w:ascii="Tahoma" w:hAnsi="Tahoma"/>
          <w:sz w:val="21"/>
          <w:szCs w:val="21"/>
        </w:rPr>
      </w:pPr>
    </w:p>
    <w:tbl>
      <w:tblPr>
        <w:tblW w:w="0" w:type="auto"/>
        <w:tblLayout w:type="fixed"/>
        <w:tblLook w:val="04A0" w:firstRow="1" w:lastRow="0" w:firstColumn="1" w:lastColumn="0" w:noHBand="0" w:noVBand="1"/>
      </w:tblPr>
      <w:tblGrid>
        <w:gridCol w:w="594"/>
        <w:gridCol w:w="3793"/>
        <w:gridCol w:w="2000"/>
        <w:gridCol w:w="1160"/>
        <w:gridCol w:w="667"/>
        <w:gridCol w:w="1134"/>
        <w:gridCol w:w="1321"/>
      </w:tblGrid>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Требование о начислении страховых взносов исходя из МРОТ в отношении руководителей организации и декларировании таковых не зависит от факта выплаты заработной платы последним</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421 НК РФ, МРОТ, руководитель организации, руководитель представительства, руководитель филиала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ФНС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01.09.26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БС-36-11/7576</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При множественности органов управления организации за каждого из них страховые взносы подлежат начислению минимум из МРОТ</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421 НК РФ, МРОТ, руководитель организации, руководитель представительства, руководитель филиала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ФНС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22.12.25</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БС-4-11/11507</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Налоговый орган неправомерно переквалифицировал гражданско-правовые отношения с физическим лицом в трудовые отношения, доначислив страховые взносы, поскольку последние соответствовали ГК РФ</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Статья 420 НК РФ, статья 422 НК РФ, индивидуальный предприниматель, трудовые отношения, переквалификация</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Постановление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ФАС ВВО</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10.07.26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А82-15937/2024</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lastRenderedPageBreak/>
              <w:t>4</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Возмещение стоимости проезда работникам на работу и обратно не отвечает понятию компенсационной выплаты, поскольку выплачивалась всем работникам без учёта фактических расходов</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420 НК РФ, статья 422 НК РФ, компенсационная выплата, возмещение проезда на работу</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Постановление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ФАС ВВО</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09.07.26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А17-5993/2025</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5</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Оплата страхования сотрудника, направляемого в командировку, при авиаперелёте облагается страховыми взносами, поскольку иное прямо не предусмотрено НК РФ</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420 НК РФ, статья 422 НК РФ, страхование командированного сотрудника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03.08.26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03-15-05/66833</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6</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Страховые взносы не подлежат начислению на выплаты социального характера, предусмотренные коллективным договором</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420 НК РФ, статья 422 НК РФ, выплаты социального характера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Постановление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ФАС ЗСО</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18.06.26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А27-14725/2025</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7</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Не предусмотренное в законодательном порядке размере питание вахтовиков облагается страховыми взносами как доход в натуральной форме</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420 НК РФ, статья 422 НК РФ, питание сотрудников</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31.07.26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03-15-07/66365</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8</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Требование о начислении страховых взносов исходя из МРОТ касается только руководителей организации, но не распространяется на руководителей представительств и филиалов</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421 НК РФ, МРОТ, руководитель организации, руководитель представительства, руководитель филиала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ФНС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27.02.26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ЗГ-35-11/1862</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9</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Уплата страховых взносов в отношении директора ликвидируемой в упрощённом порядке организации производится в общем порядке</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421 НК РФ, генеральный директор, МРОТ, упрощённая ликвидация</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ФНС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06.07.26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БС-36-11/5654</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10</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Налоговый орган правомерно начислил страховые взносы на суммы необоснованных подотчётных сумм, израсходованных генеральным директором</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420 НК РФ, статья 422 НК РФ, подотчётные суммы</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04.06.26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309-ЭС26-4750</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11</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При передаче функций единоличного органа организации страховые взносы на вознаграждение последней не начисляются</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420 НК РФ, статья 421 НК РФ, генеральный директор, передача функций единоличного органа</w:t>
            </w:r>
          </w:p>
        </w:tc>
        <w:tc>
          <w:tcPr>
            <w:tcW w:w="116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6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09.04.26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03-15-05/29507</w:t>
            </w:r>
          </w:p>
        </w:tc>
      </w:tr>
    </w:tbl>
    <w:p w:rsidR="004F0AC1" w:rsidRPr="00737572" w:rsidRDefault="004F0AC1">
      <w:pPr>
        <w:rPr>
          <w:rFonts w:ascii="Tahoma" w:hAnsi="Tahoma"/>
          <w:sz w:val="21"/>
          <w:szCs w:val="21"/>
        </w:rPr>
      </w:pPr>
    </w:p>
    <w:p w:rsidR="004F0AC1" w:rsidRPr="00737572" w:rsidRDefault="004F0AC1">
      <w:pPr>
        <w:rPr>
          <w:rFonts w:ascii="Tahoma" w:hAnsi="Tahoma"/>
          <w:sz w:val="21"/>
          <w:szCs w:val="21"/>
        </w:rPr>
      </w:pPr>
    </w:p>
    <w:p w:rsidR="004F0AC1" w:rsidRPr="00737572" w:rsidRDefault="00737572">
      <w:pPr>
        <w:jc w:val="center"/>
        <w:rPr>
          <w:rFonts w:ascii="Tahoma" w:hAnsi="Tahoma"/>
          <w:b/>
          <w:sz w:val="21"/>
          <w:szCs w:val="21"/>
        </w:rPr>
      </w:pPr>
      <w:r w:rsidRPr="00737572">
        <w:rPr>
          <w:rFonts w:ascii="Tahoma" w:hAnsi="Tahoma"/>
          <w:b/>
          <w:sz w:val="21"/>
          <w:szCs w:val="21"/>
        </w:rPr>
        <w:t>НДФЛ</w:t>
      </w:r>
    </w:p>
    <w:p w:rsidR="004F0AC1" w:rsidRPr="00737572" w:rsidRDefault="004F0AC1">
      <w:pPr>
        <w:rPr>
          <w:rFonts w:ascii="Tahoma" w:hAnsi="Tahoma"/>
          <w:sz w:val="21"/>
          <w:szCs w:val="21"/>
        </w:rPr>
      </w:pPr>
    </w:p>
    <w:tbl>
      <w:tblPr>
        <w:tblW w:w="0" w:type="auto"/>
        <w:tblLayout w:type="fixed"/>
        <w:tblLook w:val="04A0" w:firstRow="1" w:lastRow="0" w:firstColumn="1" w:lastColumn="0" w:noHBand="0" w:noVBand="1"/>
      </w:tblPr>
      <w:tblGrid>
        <w:gridCol w:w="594"/>
        <w:gridCol w:w="3793"/>
        <w:gridCol w:w="2000"/>
        <w:gridCol w:w="1147"/>
        <w:gridCol w:w="680"/>
        <w:gridCol w:w="1134"/>
        <w:gridCol w:w="1321"/>
      </w:tblGrid>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Перечисление дохода физического лица по его указанию третьему лицу есть выплата дохода, вследствие чего у налогового агента возникает обязанность по удержанию налога</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226 НК РФ, перечисление третьему лицу, налоговый агент</w:t>
            </w:r>
          </w:p>
        </w:tc>
        <w:tc>
          <w:tcPr>
            <w:tcW w:w="114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8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17.06.26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03-04-06/51536</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 xml:space="preserve">Доходы в виде процентов по вкладам не признаются доходами от </w:t>
            </w:r>
            <w:r w:rsidRPr="00737572">
              <w:rPr>
                <w:rFonts w:ascii="Tahoma" w:hAnsi="Tahoma"/>
                <w:color w:val="000000" w:themeColor="dark1"/>
                <w:sz w:val="21"/>
                <w:szCs w:val="21"/>
              </w:rPr>
              <w:lastRenderedPageBreak/>
              <w:t>предпринимательской деятельности, вследствие чего подлежат обложению НДФЛ</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lastRenderedPageBreak/>
              <w:t xml:space="preserve">Статья 208 НК РФ, статья 210 НК РФ, </w:t>
            </w:r>
            <w:r w:rsidRPr="00737572">
              <w:rPr>
                <w:rFonts w:ascii="Tahoma" w:hAnsi="Tahoma"/>
                <w:color w:val="000000" w:themeColor="dark1"/>
                <w:sz w:val="21"/>
                <w:szCs w:val="21"/>
              </w:rPr>
              <w:lastRenderedPageBreak/>
              <w:t>проценты по вкладам</w:t>
            </w:r>
          </w:p>
        </w:tc>
        <w:tc>
          <w:tcPr>
            <w:tcW w:w="114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lastRenderedPageBreak/>
              <w:t>Определение</w:t>
            </w:r>
          </w:p>
        </w:tc>
        <w:tc>
          <w:tcPr>
            <w:tcW w:w="68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04.08.26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308-ЭС26-8618</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lastRenderedPageBreak/>
              <w:t>3</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Доход в форме материальной выгоды может возникать при приобретении прав на доли в уставном капитале посредством любых сделок, в том числе - посредством вклада в уставный капитал при его увеличении</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212 НК РФ, материальная выгода, доли в уставном капитале</w:t>
            </w:r>
          </w:p>
        </w:tc>
        <w:tc>
          <w:tcPr>
            <w:tcW w:w="114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8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МФ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14.05.26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03-04-05/40597</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4</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Уточнение размера имущественного налогового вычета возможно только до момента возврата НДФЛ</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219 НК РФ, статья 220 НК РФ, уточнение налоговых вычетов</w:t>
            </w:r>
          </w:p>
        </w:tc>
        <w:tc>
          <w:tcPr>
            <w:tcW w:w="114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Апелляционное определение</w:t>
            </w:r>
          </w:p>
        </w:tc>
        <w:tc>
          <w:tcPr>
            <w:tcW w:w="68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20.01.26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АПЛ25-386</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5</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 xml:space="preserve">Материальная помощь при рождении ребёнка не облагается в пределах 1 000 000 рублей в совокупности независимо от количества источников выплаты таковой </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217 НК РФ, материальная помощь, рождение ребёнка</w:t>
            </w:r>
          </w:p>
        </w:tc>
        <w:tc>
          <w:tcPr>
            <w:tcW w:w="114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8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ФНС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04.06.26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БС-36-11/4766</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6</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Организация неправомерно притворно выплатила доходы от участия в прибыли под видом вознаграждения индивидуальным предпринимателям за оказанные услуги предоставления поручительства по кредиту</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210 НК РФ, статья 224 НК РФ, поручительство по кредиту, притворная сделка</w:t>
            </w:r>
          </w:p>
        </w:tc>
        <w:tc>
          <w:tcPr>
            <w:tcW w:w="114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8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08.06.26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304-ЭС26-4317</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7</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Налоговый орган правомерно начислил НДФЛ на суммы необоснованных подотчётных сумм, израсходованных генеральным директором</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210 НК РФ, статья 217 НК РФ, подотчётные суммы</w:t>
            </w:r>
          </w:p>
        </w:tc>
        <w:tc>
          <w:tcPr>
            <w:tcW w:w="114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8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04.06.26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309-ЭС26-4750</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8</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Налоговый орган правомерно начислил НДФЛ на суммы необоснованных подотчётных сумм, израсходованных генеральным директором</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210 НК РФ, статья 217 НК РФ, подотчётные суммы</w:t>
            </w:r>
          </w:p>
        </w:tc>
        <w:tc>
          <w:tcPr>
            <w:tcW w:w="114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Постановление</w:t>
            </w:r>
          </w:p>
        </w:tc>
        <w:tc>
          <w:tcPr>
            <w:tcW w:w="68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ФАС УО</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01.04.26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А76-36174/2024</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9</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Передача между близкими родственниками в дар имущества, имеющего предпринимательское назначение, освобождается от уплаты НДФЛ</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217 НК РФ, статья 217.1 НК РФ, недвижимое имущество, близкие родственники, дарение</w:t>
            </w:r>
          </w:p>
        </w:tc>
        <w:tc>
          <w:tcPr>
            <w:tcW w:w="114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8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17.04.26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309-ЭС24-21782</w:t>
            </w:r>
          </w:p>
        </w:tc>
      </w:tr>
      <w:tr w:rsidR="004F0AC1" w:rsidRPr="00737572" w:rsidTr="00737572">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10</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Налоговый орган правомерно отнёс как "пассивные доходы" проценты по депозитам к доходам физического лица</w:t>
            </w:r>
          </w:p>
        </w:tc>
        <w:tc>
          <w:tcPr>
            <w:tcW w:w="200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Статья 226 НК РФ, проценты по депозитам, "пассивные" доходы</w:t>
            </w:r>
          </w:p>
        </w:tc>
        <w:tc>
          <w:tcPr>
            <w:tcW w:w="1147"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left"/>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8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09.04.26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305-ЭС26-3011</w:t>
            </w:r>
          </w:p>
        </w:tc>
      </w:tr>
    </w:tbl>
    <w:p w:rsidR="004F0AC1" w:rsidRPr="00737572" w:rsidRDefault="004F0AC1">
      <w:pPr>
        <w:rPr>
          <w:rFonts w:ascii="Tahoma" w:hAnsi="Tahoma"/>
          <w:sz w:val="21"/>
          <w:szCs w:val="21"/>
        </w:rPr>
      </w:pPr>
    </w:p>
    <w:p w:rsidR="004F0AC1" w:rsidRPr="00737572" w:rsidRDefault="004F0AC1">
      <w:pPr>
        <w:rPr>
          <w:rFonts w:ascii="Tahoma" w:hAnsi="Tahoma"/>
          <w:sz w:val="21"/>
          <w:szCs w:val="21"/>
        </w:rPr>
      </w:pPr>
    </w:p>
    <w:p w:rsidR="004F0AC1" w:rsidRPr="00737572" w:rsidRDefault="00737572">
      <w:pPr>
        <w:jc w:val="center"/>
        <w:rPr>
          <w:rFonts w:ascii="Tahoma" w:hAnsi="Tahoma"/>
          <w:b/>
          <w:sz w:val="21"/>
          <w:szCs w:val="21"/>
        </w:rPr>
      </w:pPr>
      <w:r w:rsidRPr="00737572">
        <w:rPr>
          <w:rFonts w:ascii="Tahoma" w:hAnsi="Tahoma"/>
          <w:b/>
          <w:sz w:val="21"/>
          <w:szCs w:val="21"/>
        </w:rPr>
        <w:t>ИМУЩЕСТВЕННЫЕ НАЛОГИ</w:t>
      </w:r>
    </w:p>
    <w:p w:rsidR="004F0AC1" w:rsidRPr="00737572" w:rsidRDefault="004F0AC1">
      <w:pPr>
        <w:rPr>
          <w:rFonts w:ascii="Tahoma" w:hAnsi="Tahoma"/>
          <w:sz w:val="21"/>
          <w:szCs w:val="21"/>
        </w:rPr>
      </w:pPr>
    </w:p>
    <w:tbl>
      <w:tblPr>
        <w:tblW w:w="10669" w:type="dxa"/>
        <w:tblLayout w:type="fixed"/>
        <w:tblLook w:val="04A0" w:firstRow="1" w:lastRow="0" w:firstColumn="1" w:lastColumn="0" w:noHBand="0" w:noVBand="1"/>
      </w:tblPr>
      <w:tblGrid>
        <w:gridCol w:w="594"/>
        <w:gridCol w:w="3793"/>
        <w:gridCol w:w="1984"/>
        <w:gridCol w:w="1150"/>
        <w:gridCol w:w="693"/>
        <w:gridCol w:w="1134"/>
        <w:gridCol w:w="1321"/>
      </w:tblGrid>
      <w:tr w:rsidR="004F0AC1" w:rsidRPr="00737572" w:rsidTr="002A77FD">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sz w:val="21"/>
                <w:szCs w:val="21"/>
              </w:rPr>
            </w:pPr>
            <w:r w:rsidRPr="00737572">
              <w:rPr>
                <w:rFonts w:ascii="Tahoma" w:hAnsi="Tahoma"/>
                <w:sz w:val="21"/>
                <w:szCs w:val="21"/>
              </w:rPr>
              <w:t xml:space="preserve">Утверждён порядок представления документов в Росреестр для исключения из ЕГРН записей относительно объектов, не </w:t>
            </w:r>
            <w:r w:rsidRPr="00737572">
              <w:rPr>
                <w:rFonts w:ascii="Tahoma" w:hAnsi="Tahoma"/>
                <w:sz w:val="21"/>
                <w:szCs w:val="21"/>
              </w:rPr>
              <w:lastRenderedPageBreak/>
              <w:t>являющихся объектами недвижимости</w:t>
            </w:r>
          </w:p>
        </w:tc>
        <w:tc>
          <w:tcPr>
            <w:tcW w:w="198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lastRenderedPageBreak/>
              <w:t>Статья 131 ГК РФ, недвижимость, ЕГРН</w:t>
            </w:r>
          </w:p>
        </w:tc>
        <w:tc>
          <w:tcPr>
            <w:tcW w:w="115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Росреестр</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06.08.26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14-8596-АБ/26</w:t>
            </w:r>
          </w:p>
        </w:tc>
      </w:tr>
      <w:tr w:rsidR="004F0AC1" w:rsidRPr="00737572" w:rsidTr="002A77FD">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lastRenderedPageBreak/>
              <w:t>2</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hyperlink r:id="rId6" w:history="1">
              <w:r w:rsidRPr="00737572">
                <w:rPr>
                  <w:rFonts w:ascii="Tahoma" w:hAnsi="Tahoma"/>
                  <w:color w:val="000000" w:themeColor="dark1"/>
                  <w:sz w:val="21"/>
                  <w:szCs w:val="21"/>
                </w:rPr>
                <w:t>Использование имущества по общему назначению, предопределенному технологией производства, его объединение в имущественный комплекс для сделок не делают все вещи в нем объектами налогообложения.</w:t>
              </w:r>
            </w:hyperlink>
          </w:p>
        </w:tc>
        <w:tc>
          <w:tcPr>
            <w:tcW w:w="198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374 НК РФ, недвижимость, движимое имущество</w:t>
            </w:r>
          </w:p>
        </w:tc>
        <w:tc>
          <w:tcPr>
            <w:tcW w:w="115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 xml:space="preserve">Постановление </w:t>
            </w:r>
          </w:p>
        </w:tc>
        <w:tc>
          <w:tcPr>
            <w:tcW w:w="6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ФАС СЗО</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21.04.26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А56-103128/2024</w:t>
            </w:r>
          </w:p>
        </w:tc>
      </w:tr>
      <w:tr w:rsidR="004F0AC1" w:rsidRPr="00737572" w:rsidTr="002A77FD">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В отношении объектов капитального строительства налоговые органы будут выявлять объекты обложения налогом на имущество посредством информационного обмена данными с регистрирующими органами</w:t>
            </w:r>
          </w:p>
        </w:tc>
        <w:tc>
          <w:tcPr>
            <w:tcW w:w="198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374 НК РФ, статья 378.2 НК РФ, объекты капитального строительства</w:t>
            </w:r>
          </w:p>
        </w:tc>
        <w:tc>
          <w:tcPr>
            <w:tcW w:w="115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Письмо</w:t>
            </w:r>
          </w:p>
        </w:tc>
        <w:tc>
          <w:tcPr>
            <w:tcW w:w="6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ФНС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10.08.26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СД-36-21/6833</w:t>
            </w:r>
          </w:p>
        </w:tc>
      </w:tr>
      <w:tr w:rsidR="004F0AC1" w:rsidRPr="00737572" w:rsidTr="002A77FD">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4</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Если все помещения в составе многоквартирного дома принадлежат одному лицу, то земельный участок под таковым домом не освобождается от обложения земельным налогом, поскольку такой земельный участок не является общим имуществом сособственников многоквартирного дома</w:t>
            </w:r>
          </w:p>
        </w:tc>
        <w:tc>
          <w:tcPr>
            <w:tcW w:w="198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389 НК РФ, земельный участок, многоквартирный дом</w:t>
            </w:r>
          </w:p>
        </w:tc>
        <w:tc>
          <w:tcPr>
            <w:tcW w:w="115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23.07.26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303-ЭС26-6738</w:t>
            </w:r>
          </w:p>
        </w:tc>
      </w:tr>
      <w:tr w:rsidR="004F0AC1" w:rsidRPr="00737572" w:rsidTr="002A77FD">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5</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При применении в отношении земель ИЖС, используемых коммерческими организациями, ставки земельного налога в размере 1,5%, а также повышающих коэффициентов 2х и 4х является неправомерным</w:t>
            </w:r>
          </w:p>
        </w:tc>
        <w:tc>
          <w:tcPr>
            <w:tcW w:w="198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396 НК РФ, земли ИЖС, повышающий коэффициент</w:t>
            </w:r>
          </w:p>
        </w:tc>
        <w:tc>
          <w:tcPr>
            <w:tcW w:w="115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Постановление</w:t>
            </w:r>
          </w:p>
        </w:tc>
        <w:tc>
          <w:tcPr>
            <w:tcW w:w="6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КС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21.07.26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52-П</w:t>
            </w:r>
          </w:p>
        </w:tc>
      </w:tr>
      <w:tr w:rsidR="004F0AC1" w:rsidRPr="00737572" w:rsidTr="002A77FD">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6</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Трубопроводы и теплотрассы как линейные объекты могут квалифицироваться как объекты недвижимости, что влечёт обязанность по уплате налога на имущество организаций</w:t>
            </w:r>
          </w:p>
        </w:tc>
        <w:tc>
          <w:tcPr>
            <w:tcW w:w="198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374 НК РФ, недвижимость, линейные объекты</w:t>
            </w:r>
          </w:p>
        </w:tc>
        <w:tc>
          <w:tcPr>
            <w:tcW w:w="115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06.07.26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302-ЭС22-18232</w:t>
            </w:r>
          </w:p>
        </w:tc>
      </w:tr>
      <w:tr w:rsidR="004F0AC1" w:rsidRPr="00737572" w:rsidTr="002A77FD">
        <w:tc>
          <w:tcPr>
            <w:tcW w:w="59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7</w:t>
            </w:r>
          </w:p>
        </w:tc>
        <w:tc>
          <w:tcPr>
            <w:tcW w:w="37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Отсутствие государственной регистрации вещного права на объект недвижимости в ЕГРН при фактическом обладании таковым не исключает обязанность по уплате налога на имущество</w:t>
            </w:r>
          </w:p>
        </w:tc>
        <w:tc>
          <w:tcPr>
            <w:tcW w:w="198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Статья 374 НК РФ, ЕГРН, принятие к учёту, регистрация вещного права</w:t>
            </w:r>
          </w:p>
        </w:tc>
        <w:tc>
          <w:tcPr>
            <w:tcW w:w="1150"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rPr>
                <w:rFonts w:ascii="Tahoma" w:hAnsi="Tahoma"/>
                <w:color w:val="000000" w:themeColor="dark1"/>
                <w:sz w:val="21"/>
                <w:szCs w:val="21"/>
              </w:rPr>
            </w:pPr>
            <w:r w:rsidRPr="00737572">
              <w:rPr>
                <w:rFonts w:ascii="Tahoma" w:hAnsi="Tahoma"/>
                <w:color w:val="000000" w:themeColor="dark1"/>
                <w:sz w:val="21"/>
                <w:szCs w:val="21"/>
              </w:rPr>
              <w:t>Определение</w:t>
            </w:r>
          </w:p>
        </w:tc>
        <w:tc>
          <w:tcPr>
            <w:tcW w:w="693"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ВС РФ</w:t>
            </w:r>
          </w:p>
        </w:tc>
        <w:tc>
          <w:tcPr>
            <w:tcW w:w="1134"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11.06.26</w:t>
            </w:r>
          </w:p>
        </w:tc>
        <w:tc>
          <w:tcPr>
            <w:tcW w:w="1321" w:type="dxa"/>
            <w:tcBorders>
              <w:top w:val="single" w:sz="6" w:space="0" w:color="000000"/>
              <w:left w:val="single" w:sz="6" w:space="0" w:color="000000"/>
              <w:bottom w:val="single" w:sz="6" w:space="0" w:color="000000"/>
              <w:right w:val="single" w:sz="6" w:space="0" w:color="000000"/>
            </w:tcBorders>
            <w:vAlign w:val="center"/>
          </w:tcPr>
          <w:p w:rsidR="004F0AC1" w:rsidRPr="00737572" w:rsidRDefault="00737572">
            <w:pPr>
              <w:jc w:val="center"/>
              <w:rPr>
                <w:rFonts w:ascii="Tahoma" w:hAnsi="Tahoma"/>
                <w:color w:val="000000" w:themeColor="dark1"/>
                <w:sz w:val="21"/>
                <w:szCs w:val="21"/>
              </w:rPr>
            </w:pPr>
            <w:r w:rsidRPr="00737572">
              <w:rPr>
                <w:rFonts w:ascii="Tahoma" w:hAnsi="Tahoma"/>
                <w:color w:val="000000" w:themeColor="dark1"/>
                <w:sz w:val="21"/>
                <w:szCs w:val="21"/>
              </w:rPr>
              <w:t>308-ЭС26-4380</w:t>
            </w:r>
          </w:p>
        </w:tc>
      </w:tr>
    </w:tbl>
    <w:p w:rsidR="00737572" w:rsidRDefault="00737572" w:rsidP="00737572">
      <w:pPr>
        <w:jc w:val="center"/>
        <w:rPr>
          <w:b/>
          <w:sz w:val="22"/>
        </w:rPr>
      </w:pPr>
    </w:p>
    <w:p w:rsidR="00737572" w:rsidRPr="004F55AC" w:rsidRDefault="00737572" w:rsidP="00737572">
      <w:pPr>
        <w:jc w:val="center"/>
        <w:rPr>
          <w:b/>
          <w:sz w:val="22"/>
        </w:rPr>
      </w:pPr>
      <w:r>
        <w:rPr>
          <w:b/>
          <w:sz w:val="22"/>
        </w:rPr>
        <w:t>Информационные чаты</w:t>
      </w:r>
      <w:r w:rsidRPr="000078C6">
        <w:rPr>
          <w:b/>
          <w:sz w:val="22"/>
        </w:rPr>
        <w:t xml:space="preserve"> «Центра финансовых экспертиз»</w:t>
      </w:r>
      <w:r>
        <w:rPr>
          <w:b/>
          <w:sz w:val="22"/>
        </w:rPr>
        <w:t xml:space="preserve"> в </w:t>
      </w:r>
      <w:r>
        <w:rPr>
          <w:b/>
          <w:sz w:val="22"/>
          <w:lang w:val="en-US"/>
        </w:rPr>
        <w:t>MAX</w:t>
      </w:r>
    </w:p>
    <w:p w:rsidR="00737572" w:rsidRDefault="00737572" w:rsidP="00737572">
      <w:pPr>
        <w:jc w:val="center"/>
        <w:rPr>
          <w:b/>
          <w:sz w:val="22"/>
        </w:rPr>
      </w:pPr>
      <w:r>
        <w:rPr>
          <w:b/>
          <w:sz w:val="22"/>
        </w:rPr>
        <w:t>(для участников профсообщества «Экспертный Совет» - секции Бюджет и Бизнес)</w:t>
      </w:r>
    </w:p>
    <w:p w:rsidR="004F0AC1" w:rsidRPr="00737572" w:rsidRDefault="00737572" w:rsidP="00737572">
      <w:pPr>
        <w:pStyle w:val="ac"/>
        <w:rPr>
          <w:rFonts w:ascii="Tahoma" w:hAnsi="Tahoma"/>
          <w:sz w:val="22"/>
        </w:rPr>
      </w:pPr>
      <w:r>
        <w:rPr>
          <w:rFonts w:ascii="Tahoma" w:hAnsi="Tahoma"/>
          <w:sz w:val="22"/>
        </w:rPr>
        <w:tab/>
      </w:r>
      <w:r>
        <w:rPr>
          <w:rFonts w:ascii="Tahoma" w:hAnsi="Tahoma"/>
          <w:sz w:val="22"/>
        </w:rPr>
        <w:tab/>
      </w:r>
      <w:r>
        <w:rPr>
          <w:rFonts w:ascii="Tahoma" w:hAnsi="Tahoma"/>
          <w:sz w:val="22"/>
        </w:rPr>
        <w:tab/>
      </w:r>
      <w:r>
        <w:rPr>
          <w:noProof/>
        </w:rPr>
        <w:drawing>
          <wp:inline distT="0" distB="0" distL="0" distR="0" wp14:anchorId="1536ABF2" wp14:editId="6D6F1FD4">
            <wp:extent cx="1149350" cy="1711658"/>
            <wp:effectExtent l="0" t="0" r="0" b="3175"/>
            <wp:docPr id="1" name="Рисунок 1" descr="C:\Data\ЦФЭОформление\Горячая линия бюдже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ata\ЦФЭОформление\Горячая линия бюджет.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87637" cy="1768677"/>
                    </a:xfrm>
                    <a:prstGeom prst="rect">
                      <a:avLst/>
                    </a:prstGeom>
                    <a:noFill/>
                    <a:ln>
                      <a:noFill/>
                    </a:ln>
                  </pic:spPr>
                </pic:pic>
              </a:graphicData>
            </a:graphic>
          </wp:inline>
        </w:drawing>
      </w:r>
      <w:r>
        <w:rPr>
          <w:rFonts w:ascii="Tahoma" w:hAnsi="Tahoma"/>
          <w:sz w:val="22"/>
        </w:rPr>
        <w:tab/>
      </w:r>
      <w:r>
        <w:rPr>
          <w:rFonts w:ascii="Tahoma" w:hAnsi="Tahoma"/>
          <w:sz w:val="22"/>
        </w:rPr>
        <w:tab/>
      </w:r>
      <w:r>
        <w:rPr>
          <w:rFonts w:ascii="Tahoma" w:hAnsi="Tahoma"/>
          <w:sz w:val="22"/>
        </w:rPr>
        <w:tab/>
      </w:r>
      <w:r>
        <w:rPr>
          <w:rFonts w:ascii="Tahoma" w:hAnsi="Tahoma"/>
          <w:sz w:val="22"/>
        </w:rPr>
        <w:tab/>
      </w:r>
      <w:r>
        <w:rPr>
          <w:rFonts w:ascii="Tahoma" w:hAnsi="Tahoma"/>
          <w:sz w:val="22"/>
        </w:rPr>
        <w:tab/>
      </w:r>
      <w:r>
        <w:rPr>
          <w:noProof/>
        </w:rPr>
        <w:drawing>
          <wp:inline distT="0" distB="0" distL="0" distR="0" wp14:anchorId="5B24FBB4" wp14:editId="34D9139D">
            <wp:extent cx="1122407" cy="1663065"/>
            <wp:effectExtent l="0" t="0" r="1905" b="0"/>
            <wp:docPr id="2" name="Рисунок 2" descr="C:\Data\ЦФЭОформление\Горячая линия бизнес.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ata\ЦФЭОформление\Горячая линия бизнес.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8557" cy="1775895"/>
                    </a:xfrm>
                    <a:prstGeom prst="rect">
                      <a:avLst/>
                    </a:prstGeom>
                    <a:noFill/>
                    <a:ln>
                      <a:noFill/>
                    </a:ln>
                  </pic:spPr>
                </pic:pic>
              </a:graphicData>
            </a:graphic>
          </wp:inline>
        </w:drawing>
      </w:r>
      <w:bookmarkStart w:id="0" w:name="_GoBack"/>
      <w:bookmarkEnd w:id="0"/>
    </w:p>
    <w:sectPr w:rsidR="004F0AC1" w:rsidRPr="00737572" w:rsidSect="00737572">
      <w:footerReference w:type="default" r:id="rId9"/>
      <w:pgSz w:w="11908" w:h="16848"/>
      <w:pgMar w:top="709" w:right="283" w:bottom="993" w:left="680" w:header="850" w:footer="56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78DA" w:rsidRDefault="00E878DA" w:rsidP="00737572">
      <w:r>
        <w:separator/>
      </w:r>
    </w:p>
  </w:endnote>
  <w:endnote w:type="continuationSeparator" w:id="0">
    <w:p w:rsidR="00E878DA" w:rsidRDefault="00E878DA" w:rsidP="00737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XO Thames">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0363052"/>
      <w:docPartObj>
        <w:docPartGallery w:val="Page Numbers (Bottom of Page)"/>
        <w:docPartUnique/>
      </w:docPartObj>
    </w:sdtPr>
    <w:sdtContent>
      <w:p w:rsidR="00737572" w:rsidRDefault="00737572">
        <w:pPr>
          <w:pStyle w:val="aa"/>
          <w:jc w:val="center"/>
        </w:pPr>
        <w:r>
          <w:fldChar w:fldCharType="begin"/>
        </w:r>
        <w:r>
          <w:instrText>PAGE   \* MERGEFORMAT</w:instrText>
        </w:r>
        <w:r>
          <w:fldChar w:fldCharType="separate"/>
        </w:r>
        <w:r w:rsidR="002A77FD">
          <w:rPr>
            <w:noProof/>
          </w:rPr>
          <w:t>12</w:t>
        </w:r>
        <w:r>
          <w:fldChar w:fldCharType="end"/>
        </w:r>
      </w:p>
    </w:sdtContent>
  </w:sdt>
  <w:p w:rsidR="00737572" w:rsidRDefault="0073757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78DA" w:rsidRDefault="00E878DA" w:rsidP="00737572">
      <w:r>
        <w:separator/>
      </w:r>
    </w:p>
  </w:footnote>
  <w:footnote w:type="continuationSeparator" w:id="0">
    <w:p w:rsidR="00E878DA" w:rsidRDefault="00E878DA" w:rsidP="007375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AC1"/>
    <w:rsid w:val="002A77FD"/>
    <w:rsid w:val="00307CE0"/>
    <w:rsid w:val="004F0AC1"/>
    <w:rsid w:val="00737572"/>
    <w:rsid w:val="00E878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BDA1F24-A742-4DC0-9401-42950F89F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XO Thames" w:eastAsia="Times New Roman" w:hAnsi="XO Thames" w:cs="Times New Roman"/>
        <w:color w:val="000000"/>
        <w:sz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jc w:val="both"/>
    </w:pPr>
    <w:rPr>
      <w:rFonts w:ascii="Courier New" w:hAnsi="Courier New"/>
    </w:rPr>
  </w:style>
  <w:style w:type="paragraph" w:styleId="10">
    <w:name w:val="heading 1"/>
    <w:basedOn w:val="a"/>
    <w:next w:val="a"/>
    <w:link w:val="11"/>
    <w:uiPriority w:val="9"/>
    <w:qFormat/>
    <w:pPr>
      <w:spacing w:before="120" w:after="120"/>
      <w:outlineLvl w:val="0"/>
    </w:pPr>
    <w:rPr>
      <w:rFonts w:ascii="XO Thames" w:hAnsi="XO Thames"/>
      <w:b/>
      <w:sz w:val="32"/>
    </w:rPr>
  </w:style>
  <w:style w:type="paragraph" w:styleId="2">
    <w:name w:val="heading 2"/>
    <w:basedOn w:val="a"/>
    <w:next w:val="a"/>
    <w:link w:val="20"/>
    <w:uiPriority w:val="9"/>
    <w:qFormat/>
    <w:pPr>
      <w:spacing w:before="120" w:after="120"/>
      <w:outlineLvl w:val="1"/>
    </w:pPr>
    <w:rPr>
      <w:rFonts w:ascii="XO Thames" w:hAnsi="XO Thames"/>
      <w:b/>
      <w:sz w:val="28"/>
    </w:rPr>
  </w:style>
  <w:style w:type="paragraph" w:styleId="3">
    <w:name w:val="heading 3"/>
    <w:basedOn w:val="a"/>
    <w:next w:val="a"/>
    <w:link w:val="30"/>
    <w:uiPriority w:val="9"/>
    <w:qFormat/>
    <w:pPr>
      <w:spacing w:before="120" w:after="120"/>
      <w:outlineLvl w:val="2"/>
    </w:pPr>
    <w:rPr>
      <w:rFonts w:ascii="XO Thames" w:hAnsi="XO Thames"/>
      <w:b/>
      <w:sz w:val="26"/>
    </w:rPr>
  </w:style>
  <w:style w:type="paragraph" w:styleId="4">
    <w:name w:val="heading 4"/>
    <w:basedOn w:val="a"/>
    <w:next w:val="a"/>
    <w:link w:val="40"/>
    <w:uiPriority w:val="9"/>
    <w:qFormat/>
    <w:pPr>
      <w:spacing w:before="120" w:after="120"/>
      <w:outlineLvl w:val="3"/>
    </w:pPr>
    <w:rPr>
      <w:rFonts w:ascii="XO Thames" w:hAnsi="XO Thames"/>
      <w:b/>
    </w:rPr>
  </w:style>
  <w:style w:type="paragraph" w:styleId="5">
    <w:name w:val="heading 5"/>
    <w:basedOn w:val="a"/>
    <w:next w:val="a"/>
    <w:link w:val="50"/>
    <w:uiPriority w:val="9"/>
    <w:qFormat/>
    <w:pPr>
      <w:spacing w:before="120" w:after="120"/>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Courier New" w:hAnsi="Courier New"/>
      <w:color w:val="000000"/>
      <w:spacing w:val="0"/>
      <w:sz w:val="24"/>
    </w:rPr>
  </w:style>
  <w:style w:type="paragraph" w:styleId="21">
    <w:name w:val="toc 2"/>
    <w:basedOn w:val="a"/>
    <w:next w:val="a"/>
    <w:link w:val="22"/>
    <w:uiPriority w:val="39"/>
    <w:pPr>
      <w:ind w:left="200"/>
      <w:jc w:val="left"/>
    </w:pPr>
    <w:rPr>
      <w:rFonts w:ascii="XO Thames" w:hAnsi="XO Thames"/>
      <w:sz w:val="28"/>
    </w:rPr>
  </w:style>
  <w:style w:type="character" w:customStyle="1" w:styleId="22">
    <w:name w:val="Оглавление 2 Знак"/>
    <w:basedOn w:val="1"/>
    <w:link w:val="21"/>
    <w:rPr>
      <w:rFonts w:ascii="XO Thames" w:hAnsi="XO Thames"/>
      <w:color w:val="000000"/>
      <w:spacing w:val="0"/>
      <w:sz w:val="28"/>
    </w:rPr>
  </w:style>
  <w:style w:type="paragraph" w:styleId="41">
    <w:name w:val="toc 4"/>
    <w:basedOn w:val="a"/>
    <w:next w:val="a"/>
    <w:link w:val="42"/>
    <w:uiPriority w:val="39"/>
    <w:pPr>
      <w:ind w:left="600"/>
      <w:jc w:val="left"/>
    </w:pPr>
    <w:rPr>
      <w:rFonts w:ascii="XO Thames" w:hAnsi="XO Thames"/>
      <w:sz w:val="28"/>
    </w:rPr>
  </w:style>
  <w:style w:type="character" w:customStyle="1" w:styleId="42">
    <w:name w:val="Оглавление 4 Знак"/>
    <w:basedOn w:val="1"/>
    <w:link w:val="41"/>
    <w:rPr>
      <w:rFonts w:ascii="XO Thames" w:hAnsi="XO Thames"/>
      <w:color w:val="000000"/>
      <w:spacing w:val="0"/>
      <w:sz w:val="28"/>
    </w:rPr>
  </w:style>
  <w:style w:type="paragraph" w:styleId="6">
    <w:name w:val="toc 6"/>
    <w:basedOn w:val="a"/>
    <w:next w:val="a"/>
    <w:link w:val="60"/>
    <w:uiPriority w:val="39"/>
    <w:pPr>
      <w:ind w:left="1000"/>
      <w:jc w:val="left"/>
    </w:pPr>
    <w:rPr>
      <w:rFonts w:ascii="XO Thames" w:hAnsi="XO Thames"/>
      <w:sz w:val="28"/>
    </w:rPr>
  </w:style>
  <w:style w:type="character" w:customStyle="1" w:styleId="60">
    <w:name w:val="Оглавление 6 Знак"/>
    <w:basedOn w:val="1"/>
    <w:link w:val="6"/>
    <w:rPr>
      <w:rFonts w:ascii="XO Thames" w:hAnsi="XO Thames"/>
      <w:color w:val="000000"/>
      <w:spacing w:val="0"/>
      <w:sz w:val="28"/>
    </w:rPr>
  </w:style>
  <w:style w:type="paragraph" w:styleId="7">
    <w:name w:val="toc 7"/>
    <w:basedOn w:val="a"/>
    <w:next w:val="a"/>
    <w:link w:val="70"/>
    <w:uiPriority w:val="39"/>
    <w:pPr>
      <w:ind w:left="1200"/>
      <w:jc w:val="left"/>
    </w:pPr>
    <w:rPr>
      <w:rFonts w:ascii="XO Thames" w:hAnsi="XO Thames"/>
      <w:sz w:val="28"/>
    </w:rPr>
  </w:style>
  <w:style w:type="character" w:customStyle="1" w:styleId="70">
    <w:name w:val="Оглавление 7 Знак"/>
    <w:basedOn w:val="1"/>
    <w:link w:val="7"/>
    <w:rPr>
      <w:rFonts w:ascii="XO Thames" w:hAnsi="XO Thames"/>
      <w:color w:val="000000"/>
      <w:spacing w:val="0"/>
      <w:sz w:val="28"/>
    </w:rPr>
  </w:style>
  <w:style w:type="paragraph" w:customStyle="1" w:styleId="Endnote">
    <w:name w:val="Endnote"/>
    <w:link w:val="Endnote0"/>
    <w:pPr>
      <w:ind w:firstLine="851"/>
      <w:jc w:val="both"/>
    </w:pPr>
    <w:rPr>
      <w:sz w:val="22"/>
    </w:rPr>
  </w:style>
  <w:style w:type="character" w:customStyle="1" w:styleId="Endnote0">
    <w:name w:val="Endnote"/>
    <w:link w:val="Endnote"/>
    <w:rPr>
      <w:rFonts w:ascii="XO Thames" w:hAnsi="XO Thames"/>
      <w:sz w:val="22"/>
    </w:rPr>
  </w:style>
  <w:style w:type="character" w:customStyle="1" w:styleId="30">
    <w:name w:val="Заголовок 3 Знак"/>
    <w:basedOn w:val="1"/>
    <w:link w:val="3"/>
    <w:rPr>
      <w:rFonts w:ascii="XO Thames" w:hAnsi="XO Thames"/>
      <w:b/>
      <w:color w:val="000000"/>
      <w:spacing w:val="0"/>
      <w:sz w:val="26"/>
    </w:rPr>
  </w:style>
  <w:style w:type="paragraph" w:styleId="31">
    <w:name w:val="toc 3"/>
    <w:basedOn w:val="a"/>
    <w:next w:val="a"/>
    <w:link w:val="32"/>
    <w:uiPriority w:val="39"/>
    <w:pPr>
      <w:ind w:left="400"/>
      <w:jc w:val="left"/>
    </w:pPr>
    <w:rPr>
      <w:rFonts w:ascii="XO Thames" w:hAnsi="XO Thames"/>
      <w:sz w:val="28"/>
    </w:rPr>
  </w:style>
  <w:style w:type="character" w:customStyle="1" w:styleId="32">
    <w:name w:val="Оглавление 3 Знак"/>
    <w:basedOn w:val="1"/>
    <w:link w:val="31"/>
    <w:rPr>
      <w:rFonts w:ascii="XO Thames" w:hAnsi="XO Thames"/>
      <w:color w:val="000000"/>
      <w:spacing w:val="0"/>
      <w:sz w:val="28"/>
    </w:rPr>
  </w:style>
  <w:style w:type="character" w:customStyle="1" w:styleId="50">
    <w:name w:val="Заголовок 5 Знак"/>
    <w:basedOn w:val="1"/>
    <w:link w:val="5"/>
    <w:rPr>
      <w:rFonts w:ascii="XO Thames" w:hAnsi="XO Thames"/>
      <w:b/>
      <w:color w:val="000000"/>
      <w:spacing w:val="0"/>
      <w:sz w:val="22"/>
    </w:rPr>
  </w:style>
  <w:style w:type="character" w:customStyle="1" w:styleId="11">
    <w:name w:val="Заголовок 1 Знак"/>
    <w:basedOn w:val="1"/>
    <w:link w:val="10"/>
    <w:rPr>
      <w:rFonts w:ascii="XO Thames" w:hAnsi="XO Thames"/>
      <w:b/>
      <w:color w:val="000000"/>
      <w:spacing w:val="0"/>
      <w:sz w:val="32"/>
    </w:rPr>
  </w:style>
  <w:style w:type="paragraph" w:customStyle="1" w:styleId="12">
    <w:name w:val="Гиперссылка1"/>
    <w:link w:val="a3"/>
    <w:rPr>
      <w:color w:val="0000FF"/>
      <w:u w:val="single"/>
    </w:rPr>
  </w:style>
  <w:style w:type="character" w:styleId="a3">
    <w:name w:val="Hyperlink"/>
    <w:link w:val="12"/>
    <w:rPr>
      <w:color w:val="0000FF"/>
      <w:u w:val="single"/>
    </w:rPr>
  </w:style>
  <w:style w:type="paragraph" w:customStyle="1" w:styleId="Footnote">
    <w:name w:val="Footnote"/>
    <w:link w:val="Footnote0"/>
    <w:pPr>
      <w:ind w:firstLine="851"/>
      <w:jc w:val="both"/>
    </w:pPr>
    <w:rPr>
      <w:sz w:val="22"/>
    </w:rPr>
  </w:style>
  <w:style w:type="character" w:customStyle="1" w:styleId="Footnote0">
    <w:name w:val="Footnote"/>
    <w:link w:val="Footnote"/>
    <w:rPr>
      <w:rFonts w:ascii="XO Thames" w:hAnsi="XO Thames"/>
      <w:sz w:val="22"/>
    </w:rPr>
  </w:style>
  <w:style w:type="paragraph" w:styleId="13">
    <w:name w:val="toc 1"/>
    <w:basedOn w:val="a"/>
    <w:next w:val="a"/>
    <w:link w:val="14"/>
    <w:uiPriority w:val="39"/>
    <w:pPr>
      <w:jc w:val="left"/>
    </w:pPr>
    <w:rPr>
      <w:rFonts w:ascii="XO Thames" w:hAnsi="XO Thames"/>
      <w:b/>
      <w:sz w:val="28"/>
    </w:rPr>
  </w:style>
  <w:style w:type="character" w:customStyle="1" w:styleId="14">
    <w:name w:val="Оглавление 1 Знак"/>
    <w:basedOn w:val="1"/>
    <w:link w:val="13"/>
    <w:rPr>
      <w:rFonts w:ascii="XO Thames" w:hAnsi="XO Thames"/>
      <w:b/>
      <w:color w:val="000000"/>
      <w:spacing w:val="0"/>
      <w:sz w:val="28"/>
    </w:rPr>
  </w:style>
  <w:style w:type="paragraph" w:customStyle="1" w:styleId="HeaderandFooter">
    <w:name w:val="Header and Footer"/>
    <w:link w:val="HeaderandFooter0"/>
    <w:pPr>
      <w:jc w:val="both"/>
    </w:pPr>
    <w:rPr>
      <w:sz w:val="20"/>
    </w:rPr>
  </w:style>
  <w:style w:type="character" w:customStyle="1" w:styleId="HeaderandFooter0">
    <w:name w:val="Header and Footer"/>
    <w:link w:val="HeaderandFooter"/>
    <w:rPr>
      <w:rFonts w:ascii="XO Thames" w:hAnsi="XO Thames"/>
      <w:sz w:val="20"/>
    </w:rPr>
  </w:style>
  <w:style w:type="paragraph" w:styleId="9">
    <w:name w:val="toc 9"/>
    <w:basedOn w:val="a"/>
    <w:next w:val="a"/>
    <w:link w:val="90"/>
    <w:uiPriority w:val="39"/>
    <w:pPr>
      <w:ind w:left="1600"/>
      <w:jc w:val="left"/>
    </w:pPr>
    <w:rPr>
      <w:rFonts w:ascii="XO Thames" w:hAnsi="XO Thames"/>
      <w:sz w:val="28"/>
    </w:rPr>
  </w:style>
  <w:style w:type="character" w:customStyle="1" w:styleId="90">
    <w:name w:val="Оглавление 9 Знак"/>
    <w:basedOn w:val="1"/>
    <w:link w:val="9"/>
    <w:rPr>
      <w:rFonts w:ascii="XO Thames" w:hAnsi="XO Thames"/>
      <w:color w:val="000000"/>
      <w:spacing w:val="0"/>
      <w:sz w:val="28"/>
    </w:rPr>
  </w:style>
  <w:style w:type="paragraph" w:styleId="8">
    <w:name w:val="toc 8"/>
    <w:basedOn w:val="a"/>
    <w:next w:val="a"/>
    <w:link w:val="80"/>
    <w:uiPriority w:val="39"/>
    <w:pPr>
      <w:ind w:left="1400"/>
      <w:jc w:val="left"/>
    </w:pPr>
    <w:rPr>
      <w:rFonts w:ascii="XO Thames" w:hAnsi="XO Thames"/>
      <w:sz w:val="28"/>
    </w:rPr>
  </w:style>
  <w:style w:type="character" w:customStyle="1" w:styleId="80">
    <w:name w:val="Оглавление 8 Знак"/>
    <w:basedOn w:val="1"/>
    <w:link w:val="8"/>
    <w:rPr>
      <w:rFonts w:ascii="XO Thames" w:hAnsi="XO Thames"/>
      <w:color w:val="000000"/>
      <w:spacing w:val="0"/>
      <w:sz w:val="28"/>
    </w:rPr>
  </w:style>
  <w:style w:type="paragraph" w:styleId="51">
    <w:name w:val="toc 5"/>
    <w:basedOn w:val="a"/>
    <w:next w:val="a"/>
    <w:link w:val="52"/>
    <w:uiPriority w:val="39"/>
    <w:pPr>
      <w:ind w:left="800"/>
      <w:jc w:val="left"/>
    </w:pPr>
    <w:rPr>
      <w:rFonts w:ascii="XO Thames" w:hAnsi="XO Thames"/>
      <w:sz w:val="28"/>
    </w:rPr>
  </w:style>
  <w:style w:type="character" w:customStyle="1" w:styleId="52">
    <w:name w:val="Оглавление 5 Знак"/>
    <w:basedOn w:val="1"/>
    <w:link w:val="51"/>
    <w:rPr>
      <w:rFonts w:ascii="XO Thames" w:hAnsi="XO Thames"/>
      <w:color w:val="000000"/>
      <w:spacing w:val="0"/>
      <w:sz w:val="28"/>
    </w:rPr>
  </w:style>
  <w:style w:type="paragraph" w:styleId="a4">
    <w:name w:val="Subtitle"/>
    <w:basedOn w:val="a"/>
    <w:next w:val="a"/>
    <w:link w:val="a5"/>
    <w:uiPriority w:val="11"/>
    <w:qFormat/>
    <w:rPr>
      <w:rFonts w:ascii="XO Thames" w:hAnsi="XO Thames"/>
      <w:i/>
    </w:rPr>
  </w:style>
  <w:style w:type="character" w:customStyle="1" w:styleId="a5">
    <w:name w:val="Подзаголовок Знак"/>
    <w:basedOn w:val="1"/>
    <w:link w:val="a4"/>
    <w:rPr>
      <w:rFonts w:ascii="XO Thames" w:hAnsi="XO Thames"/>
      <w:i/>
      <w:color w:val="000000"/>
      <w:spacing w:val="0"/>
      <w:sz w:val="24"/>
    </w:rPr>
  </w:style>
  <w:style w:type="paragraph" w:styleId="a6">
    <w:name w:val="Title"/>
    <w:basedOn w:val="a"/>
    <w:next w:val="a"/>
    <w:link w:val="a7"/>
    <w:uiPriority w:val="10"/>
    <w:qFormat/>
    <w:pPr>
      <w:spacing w:before="567" w:after="567"/>
      <w:jc w:val="center"/>
    </w:pPr>
    <w:rPr>
      <w:rFonts w:ascii="XO Thames" w:hAnsi="XO Thames"/>
      <w:b/>
      <w:caps/>
      <w:sz w:val="40"/>
    </w:rPr>
  </w:style>
  <w:style w:type="character" w:customStyle="1" w:styleId="a7">
    <w:name w:val="Название Знак"/>
    <w:basedOn w:val="1"/>
    <w:link w:val="a6"/>
    <w:rPr>
      <w:rFonts w:ascii="XO Thames" w:hAnsi="XO Thames"/>
      <w:b/>
      <w:caps/>
      <w:color w:val="000000"/>
      <w:spacing w:val="0"/>
      <w:sz w:val="40"/>
    </w:rPr>
  </w:style>
  <w:style w:type="character" w:customStyle="1" w:styleId="40">
    <w:name w:val="Заголовок 4 Знак"/>
    <w:basedOn w:val="1"/>
    <w:link w:val="4"/>
    <w:rPr>
      <w:rFonts w:ascii="XO Thames" w:hAnsi="XO Thames"/>
      <w:b/>
      <w:color w:val="000000"/>
      <w:spacing w:val="0"/>
      <w:sz w:val="24"/>
    </w:rPr>
  </w:style>
  <w:style w:type="character" w:customStyle="1" w:styleId="20">
    <w:name w:val="Заголовок 2 Знак"/>
    <w:basedOn w:val="1"/>
    <w:link w:val="2"/>
    <w:rPr>
      <w:rFonts w:ascii="XO Thames" w:hAnsi="XO Thames"/>
      <w:b/>
      <w:color w:val="000000"/>
      <w:spacing w:val="0"/>
      <w:sz w:val="28"/>
    </w:rPr>
  </w:style>
  <w:style w:type="paragraph" w:styleId="a8">
    <w:name w:val="header"/>
    <w:basedOn w:val="a"/>
    <w:link w:val="a9"/>
    <w:uiPriority w:val="99"/>
    <w:unhideWhenUsed/>
    <w:rsid w:val="00737572"/>
    <w:pPr>
      <w:tabs>
        <w:tab w:val="center" w:pos="4677"/>
        <w:tab w:val="right" w:pos="9355"/>
      </w:tabs>
    </w:pPr>
  </w:style>
  <w:style w:type="character" w:customStyle="1" w:styleId="a9">
    <w:name w:val="Верхний колонтитул Знак"/>
    <w:basedOn w:val="a0"/>
    <w:link w:val="a8"/>
    <w:uiPriority w:val="99"/>
    <w:rsid w:val="00737572"/>
    <w:rPr>
      <w:rFonts w:ascii="Courier New" w:hAnsi="Courier New"/>
    </w:rPr>
  </w:style>
  <w:style w:type="paragraph" w:styleId="aa">
    <w:name w:val="footer"/>
    <w:basedOn w:val="a"/>
    <w:link w:val="ab"/>
    <w:uiPriority w:val="99"/>
    <w:unhideWhenUsed/>
    <w:rsid w:val="00737572"/>
    <w:pPr>
      <w:tabs>
        <w:tab w:val="center" w:pos="4677"/>
        <w:tab w:val="right" w:pos="9355"/>
      </w:tabs>
    </w:pPr>
  </w:style>
  <w:style w:type="character" w:customStyle="1" w:styleId="ab">
    <w:name w:val="Нижний колонтитул Знак"/>
    <w:basedOn w:val="a0"/>
    <w:link w:val="aa"/>
    <w:uiPriority w:val="99"/>
    <w:rsid w:val="00737572"/>
    <w:rPr>
      <w:rFonts w:ascii="Courier New" w:hAnsi="Courier New"/>
    </w:rPr>
  </w:style>
  <w:style w:type="paragraph" w:styleId="ac">
    <w:name w:val="Normal (Web)"/>
    <w:basedOn w:val="a"/>
    <w:uiPriority w:val="99"/>
    <w:unhideWhenUsed/>
    <w:rsid w:val="00737572"/>
    <w:pPr>
      <w:spacing w:before="100" w:beforeAutospacing="1" w:after="100" w:afterAutospacing="1"/>
      <w:jc w:val="left"/>
    </w:pPr>
    <w:rPr>
      <w:rFonts w:ascii="Times New Roman" w:hAnsi="Times New Roman"/>
      <w:color w:val="auto"/>
      <w:szCs w:val="24"/>
    </w:rPr>
  </w:style>
  <w:style w:type="paragraph" w:customStyle="1" w:styleId="ad">
    <w:name w:val="Таблица"/>
    <w:basedOn w:val="a"/>
    <w:rsid w:val="00737572"/>
    <w:pPr>
      <w:widowControl w:val="0"/>
      <w:autoSpaceDE w:val="0"/>
      <w:autoSpaceDN w:val="0"/>
      <w:adjustRightInd w:val="0"/>
      <w:spacing w:before="20" w:after="20"/>
      <w:jc w:val="left"/>
    </w:pPr>
    <w:rPr>
      <w:rFonts w:ascii="Times New Roman" w:hAnsi="Times New Roman"/>
      <w:color w:val="auto"/>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main?base=ASZ;n=324130;dst=100049"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prstDash val="solid"/>
        </a:ln>
        <a:ln>
          <a:solidFill>
            <a:schemeClr val="phClr"/>
          </a:solidFill>
          <a:prstDash val="solid"/>
        </a:ln>
        <a:ln>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4194</Words>
  <Characters>23909</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Балдина</cp:lastModifiedBy>
  <cp:revision>3</cp:revision>
  <cp:lastPrinted>2026-10-01T09:15:00Z</cp:lastPrinted>
  <dcterms:created xsi:type="dcterms:W3CDTF">2026-10-01T09:03:00Z</dcterms:created>
  <dcterms:modified xsi:type="dcterms:W3CDTF">2026-10-01T09:15:00Z</dcterms:modified>
</cp:coreProperties>
</file>